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0AE7" w14:textId="77777777" w:rsidR="007525F7" w:rsidRDefault="00090375">
      <w:pPr>
        <w:ind w:right="-13"/>
        <w:jc w:val="center"/>
        <w:rPr>
          <w:sz w:val="20"/>
          <w:szCs w:val="20"/>
        </w:rPr>
      </w:pPr>
      <w:bookmarkStart w:id="0" w:name="page1"/>
      <w:bookmarkEnd w:id="0"/>
      <w:r>
        <w:rPr>
          <w:rFonts w:ascii="Arial" w:eastAsia="Arial" w:hAnsi="Arial" w:cs="Arial"/>
          <w:b/>
          <w:bCs/>
          <w:noProof/>
          <w:lang w:val="en-IE" w:eastAsia="en-IE"/>
        </w:rPr>
        <w:drawing>
          <wp:anchor distT="0" distB="0" distL="114300" distR="114300" simplePos="0" relativeHeight="251654144" behindDoc="1" locked="0" layoutInCell="0" allowOverlap="1" wp14:anchorId="7E21F716" wp14:editId="7810F788">
            <wp:simplePos x="0" y="0"/>
            <wp:positionH relativeFrom="page">
              <wp:posOffset>316230</wp:posOffset>
            </wp:positionH>
            <wp:positionV relativeFrom="page">
              <wp:posOffset>450215</wp:posOffset>
            </wp:positionV>
            <wp:extent cx="120777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207770" cy="457200"/>
                    </a:xfrm>
                    <a:prstGeom prst="rect">
                      <a:avLst/>
                    </a:prstGeom>
                    <a:noFill/>
                  </pic:spPr>
                </pic:pic>
              </a:graphicData>
            </a:graphic>
          </wp:anchor>
        </w:drawing>
      </w:r>
      <w:r>
        <w:rPr>
          <w:rFonts w:ascii="Arial" w:eastAsia="Arial" w:hAnsi="Arial" w:cs="Arial"/>
          <w:b/>
          <w:bCs/>
        </w:rPr>
        <w:t>ID5 — INDUSTRIAL DESIGN FORUM</w:t>
      </w:r>
    </w:p>
    <w:p w14:paraId="2E0DF9B0" w14:textId="77777777" w:rsidR="007525F7" w:rsidRDefault="007525F7">
      <w:pPr>
        <w:spacing w:line="250" w:lineRule="exact"/>
        <w:rPr>
          <w:sz w:val="24"/>
          <w:szCs w:val="24"/>
        </w:rPr>
      </w:pPr>
    </w:p>
    <w:p w14:paraId="6930B07F" w14:textId="77777777" w:rsidR="007525F7" w:rsidRDefault="00090375">
      <w:pPr>
        <w:spacing w:line="265" w:lineRule="auto"/>
        <w:ind w:left="80" w:right="66"/>
        <w:jc w:val="center"/>
        <w:rPr>
          <w:sz w:val="20"/>
          <w:szCs w:val="20"/>
        </w:rPr>
      </w:pPr>
      <w:r>
        <w:rPr>
          <w:rFonts w:ascii="Arial" w:eastAsia="Arial" w:hAnsi="Arial" w:cs="Arial"/>
          <w:i/>
          <w:iCs/>
        </w:rPr>
        <w:t xml:space="preserve">Conclusions of the Phase I Comparative Study of Practices Concerning Product Indications and </w:t>
      </w:r>
      <w:r w:rsidR="005C07DA">
        <w:rPr>
          <w:rFonts w:ascii="Arial" w:eastAsia="Arial" w:hAnsi="Arial" w:cs="Arial"/>
          <w:i/>
          <w:iCs/>
        </w:rPr>
        <w:t>Closure of Project</w:t>
      </w:r>
    </w:p>
    <w:p w14:paraId="0BEFF6FE" w14:textId="77777777" w:rsidR="007525F7" w:rsidRDefault="00090375">
      <w:pPr>
        <w:spacing w:line="20" w:lineRule="exact"/>
        <w:rPr>
          <w:sz w:val="24"/>
          <w:szCs w:val="24"/>
        </w:rPr>
      </w:pPr>
      <w:r>
        <w:rPr>
          <w:noProof/>
          <w:sz w:val="24"/>
          <w:szCs w:val="24"/>
          <w:lang w:val="en-IE" w:eastAsia="en-IE"/>
        </w:rPr>
        <w:drawing>
          <wp:anchor distT="0" distB="0" distL="114300" distR="114300" simplePos="0" relativeHeight="251655168" behindDoc="1" locked="0" layoutInCell="0" allowOverlap="1" wp14:anchorId="3DF51604" wp14:editId="7E5A69CC">
            <wp:simplePos x="0" y="0"/>
            <wp:positionH relativeFrom="column">
              <wp:posOffset>2650490</wp:posOffset>
            </wp:positionH>
            <wp:positionV relativeFrom="paragraph">
              <wp:posOffset>33020</wp:posOffset>
            </wp:positionV>
            <wp:extent cx="656590" cy="2941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blip>
                    <a:srcRect/>
                    <a:stretch>
                      <a:fillRect/>
                    </a:stretch>
                  </pic:blipFill>
                  <pic:spPr bwMode="auto">
                    <a:xfrm>
                      <a:off x="0" y="0"/>
                      <a:ext cx="656590" cy="2941320"/>
                    </a:xfrm>
                    <a:prstGeom prst="rect">
                      <a:avLst/>
                    </a:prstGeom>
                    <a:noFill/>
                  </pic:spPr>
                </pic:pic>
              </a:graphicData>
            </a:graphic>
          </wp:anchor>
        </w:drawing>
      </w:r>
    </w:p>
    <w:p w14:paraId="0FE3359C" w14:textId="77777777" w:rsidR="007525F7" w:rsidRDefault="007525F7">
      <w:pPr>
        <w:spacing w:line="200" w:lineRule="exact"/>
        <w:rPr>
          <w:sz w:val="24"/>
          <w:szCs w:val="24"/>
        </w:rPr>
      </w:pPr>
    </w:p>
    <w:p w14:paraId="1A8C5227" w14:textId="77777777" w:rsidR="007525F7" w:rsidRDefault="007525F7">
      <w:pPr>
        <w:spacing w:line="200" w:lineRule="exact"/>
        <w:rPr>
          <w:sz w:val="24"/>
          <w:szCs w:val="24"/>
        </w:rPr>
      </w:pPr>
    </w:p>
    <w:p w14:paraId="143869A7" w14:textId="77777777" w:rsidR="007525F7" w:rsidRDefault="007525F7">
      <w:pPr>
        <w:spacing w:line="200" w:lineRule="exact"/>
        <w:rPr>
          <w:sz w:val="24"/>
          <w:szCs w:val="24"/>
        </w:rPr>
      </w:pPr>
    </w:p>
    <w:p w14:paraId="5339EA15" w14:textId="77777777" w:rsidR="007525F7" w:rsidRDefault="007525F7">
      <w:pPr>
        <w:spacing w:line="200" w:lineRule="exact"/>
        <w:rPr>
          <w:sz w:val="24"/>
          <w:szCs w:val="24"/>
        </w:rPr>
      </w:pPr>
    </w:p>
    <w:p w14:paraId="6FD60D3B" w14:textId="77777777" w:rsidR="007525F7" w:rsidRDefault="007525F7">
      <w:pPr>
        <w:spacing w:line="200" w:lineRule="exact"/>
        <w:rPr>
          <w:sz w:val="24"/>
          <w:szCs w:val="24"/>
        </w:rPr>
      </w:pPr>
    </w:p>
    <w:p w14:paraId="01C675F7" w14:textId="77777777" w:rsidR="007525F7" w:rsidRDefault="007525F7">
      <w:pPr>
        <w:spacing w:line="200" w:lineRule="exact"/>
        <w:rPr>
          <w:sz w:val="24"/>
          <w:szCs w:val="24"/>
        </w:rPr>
      </w:pPr>
    </w:p>
    <w:p w14:paraId="35A83D01" w14:textId="77777777" w:rsidR="007525F7" w:rsidRDefault="007525F7">
      <w:pPr>
        <w:spacing w:line="200" w:lineRule="exact"/>
        <w:rPr>
          <w:sz w:val="24"/>
          <w:szCs w:val="24"/>
        </w:rPr>
      </w:pPr>
    </w:p>
    <w:p w14:paraId="123912A8" w14:textId="77777777" w:rsidR="007525F7" w:rsidRDefault="007525F7">
      <w:pPr>
        <w:spacing w:line="200" w:lineRule="exact"/>
        <w:rPr>
          <w:sz w:val="24"/>
          <w:szCs w:val="24"/>
        </w:rPr>
      </w:pPr>
    </w:p>
    <w:p w14:paraId="328D5F7E" w14:textId="77777777" w:rsidR="007525F7" w:rsidRDefault="007525F7">
      <w:pPr>
        <w:spacing w:line="200" w:lineRule="exact"/>
        <w:rPr>
          <w:sz w:val="24"/>
          <w:szCs w:val="24"/>
        </w:rPr>
      </w:pPr>
    </w:p>
    <w:p w14:paraId="749541E8" w14:textId="77777777" w:rsidR="007525F7" w:rsidRDefault="007525F7">
      <w:pPr>
        <w:spacing w:line="200" w:lineRule="exact"/>
        <w:rPr>
          <w:sz w:val="24"/>
          <w:szCs w:val="24"/>
        </w:rPr>
      </w:pPr>
    </w:p>
    <w:p w14:paraId="1D0E5905" w14:textId="77777777" w:rsidR="007525F7" w:rsidRDefault="007525F7">
      <w:pPr>
        <w:spacing w:line="200" w:lineRule="exact"/>
        <w:rPr>
          <w:sz w:val="24"/>
          <w:szCs w:val="24"/>
        </w:rPr>
      </w:pPr>
    </w:p>
    <w:p w14:paraId="4A79D27B" w14:textId="77777777" w:rsidR="007525F7" w:rsidRDefault="007525F7">
      <w:pPr>
        <w:spacing w:line="200" w:lineRule="exact"/>
        <w:rPr>
          <w:sz w:val="24"/>
          <w:szCs w:val="24"/>
        </w:rPr>
      </w:pPr>
    </w:p>
    <w:p w14:paraId="3E8CA554" w14:textId="77777777" w:rsidR="007525F7" w:rsidRDefault="007525F7">
      <w:pPr>
        <w:spacing w:line="200" w:lineRule="exact"/>
        <w:rPr>
          <w:sz w:val="24"/>
          <w:szCs w:val="24"/>
        </w:rPr>
      </w:pPr>
    </w:p>
    <w:p w14:paraId="34AF6FE4" w14:textId="77777777" w:rsidR="007525F7" w:rsidRDefault="007525F7">
      <w:pPr>
        <w:spacing w:line="200" w:lineRule="exact"/>
        <w:rPr>
          <w:sz w:val="24"/>
          <w:szCs w:val="24"/>
        </w:rPr>
      </w:pPr>
    </w:p>
    <w:p w14:paraId="496458A4" w14:textId="77777777" w:rsidR="007525F7" w:rsidRDefault="007525F7">
      <w:pPr>
        <w:spacing w:line="200" w:lineRule="exact"/>
        <w:rPr>
          <w:sz w:val="24"/>
          <w:szCs w:val="24"/>
        </w:rPr>
      </w:pPr>
    </w:p>
    <w:p w14:paraId="29A96B1D" w14:textId="77777777" w:rsidR="007525F7" w:rsidRDefault="007525F7">
      <w:pPr>
        <w:spacing w:line="200" w:lineRule="exact"/>
        <w:rPr>
          <w:sz w:val="24"/>
          <w:szCs w:val="24"/>
        </w:rPr>
      </w:pPr>
    </w:p>
    <w:p w14:paraId="637F01B6" w14:textId="77777777" w:rsidR="007525F7" w:rsidRDefault="007525F7">
      <w:pPr>
        <w:spacing w:line="200" w:lineRule="exact"/>
        <w:rPr>
          <w:sz w:val="24"/>
          <w:szCs w:val="24"/>
        </w:rPr>
      </w:pPr>
    </w:p>
    <w:p w14:paraId="1A719C94" w14:textId="77777777" w:rsidR="007525F7" w:rsidRDefault="007525F7">
      <w:pPr>
        <w:spacing w:line="200" w:lineRule="exact"/>
        <w:rPr>
          <w:sz w:val="24"/>
          <w:szCs w:val="24"/>
        </w:rPr>
      </w:pPr>
    </w:p>
    <w:p w14:paraId="13909E1A" w14:textId="77777777" w:rsidR="007525F7" w:rsidRDefault="007525F7">
      <w:pPr>
        <w:spacing w:line="200" w:lineRule="exact"/>
        <w:rPr>
          <w:sz w:val="24"/>
          <w:szCs w:val="24"/>
        </w:rPr>
      </w:pPr>
    </w:p>
    <w:p w14:paraId="2E0E1819" w14:textId="77777777" w:rsidR="007525F7" w:rsidRDefault="007525F7">
      <w:pPr>
        <w:spacing w:line="200" w:lineRule="exact"/>
        <w:rPr>
          <w:sz w:val="24"/>
          <w:szCs w:val="24"/>
        </w:rPr>
      </w:pPr>
    </w:p>
    <w:p w14:paraId="6DBF49F3" w14:textId="77777777" w:rsidR="007525F7" w:rsidRDefault="007525F7">
      <w:pPr>
        <w:spacing w:line="388" w:lineRule="exact"/>
        <w:rPr>
          <w:sz w:val="24"/>
          <w:szCs w:val="24"/>
        </w:rPr>
      </w:pPr>
    </w:p>
    <w:p w14:paraId="5E84EB6F" w14:textId="77777777" w:rsidR="007525F7" w:rsidRDefault="00090375">
      <w:pPr>
        <w:spacing w:line="235" w:lineRule="auto"/>
        <w:ind w:left="260" w:right="266" w:firstLine="29"/>
        <w:rPr>
          <w:sz w:val="20"/>
          <w:szCs w:val="20"/>
        </w:rPr>
      </w:pPr>
      <w:r>
        <w:rPr>
          <w:rFonts w:ascii="Arial" w:eastAsia="Arial" w:hAnsi="Arial" w:cs="Arial"/>
          <w:b/>
          <w:bCs/>
          <w:sz w:val="56"/>
          <w:szCs w:val="56"/>
        </w:rPr>
        <w:t>Comparative Study of Practices Concerning Product Indications</w:t>
      </w:r>
    </w:p>
    <w:p w14:paraId="2C48DA6A" w14:textId="77777777" w:rsidR="007525F7" w:rsidRDefault="007525F7">
      <w:pPr>
        <w:spacing w:line="371" w:lineRule="exact"/>
        <w:rPr>
          <w:sz w:val="24"/>
          <w:szCs w:val="24"/>
        </w:rPr>
      </w:pPr>
    </w:p>
    <w:p w14:paraId="01EFED3A" w14:textId="77777777" w:rsidR="007525F7" w:rsidRDefault="00090375">
      <w:pPr>
        <w:ind w:right="-13"/>
        <w:jc w:val="center"/>
        <w:rPr>
          <w:rFonts w:ascii="Arial" w:eastAsia="Arial" w:hAnsi="Arial" w:cs="Arial"/>
          <w:b/>
          <w:bCs/>
          <w:i/>
          <w:iCs/>
          <w:sz w:val="32"/>
          <w:szCs w:val="32"/>
        </w:rPr>
      </w:pPr>
      <w:r>
        <w:rPr>
          <w:rFonts w:ascii="Arial" w:eastAsia="Arial" w:hAnsi="Arial" w:cs="Arial"/>
          <w:b/>
          <w:bCs/>
          <w:i/>
          <w:iCs/>
          <w:sz w:val="32"/>
          <w:szCs w:val="32"/>
        </w:rPr>
        <w:t>EUIPO Lead</w:t>
      </w:r>
    </w:p>
    <w:p w14:paraId="6C6C7FF1" w14:textId="77777777" w:rsidR="005C07DA" w:rsidRDefault="005C07DA">
      <w:pPr>
        <w:ind w:right="-13"/>
        <w:jc w:val="center"/>
        <w:rPr>
          <w:sz w:val="20"/>
          <w:szCs w:val="20"/>
        </w:rPr>
      </w:pPr>
      <w:r>
        <w:rPr>
          <w:sz w:val="20"/>
          <w:szCs w:val="20"/>
        </w:rPr>
        <w:t>Final version January 2020</w:t>
      </w:r>
    </w:p>
    <w:p w14:paraId="19753166" w14:textId="77777777" w:rsidR="007525F7" w:rsidRDefault="007525F7"/>
    <w:p w14:paraId="3FF4CF60" w14:textId="77777777" w:rsidR="00A96AFF" w:rsidRDefault="00A96AFF"/>
    <w:p w14:paraId="2DC46DFE" w14:textId="77777777" w:rsidR="00A96AFF" w:rsidRDefault="00A96AFF"/>
    <w:p w14:paraId="63BC7420" w14:textId="77777777" w:rsidR="00A96AFF" w:rsidRDefault="00A96AFF"/>
    <w:p w14:paraId="4FBFDB12" w14:textId="77777777" w:rsidR="00A96AFF" w:rsidRDefault="00A96AFF"/>
    <w:p w14:paraId="0E442D84" w14:textId="77777777" w:rsidR="00A96AFF" w:rsidRDefault="00A96AFF"/>
    <w:p w14:paraId="6892CA9C" w14:textId="77777777" w:rsidR="00A96AFF" w:rsidRDefault="00A96AFF"/>
    <w:p w14:paraId="6273C293" w14:textId="77777777" w:rsidR="00A96AFF" w:rsidRDefault="00A96AFF"/>
    <w:p w14:paraId="0DFC5D91" w14:textId="77777777" w:rsidR="00A96AFF" w:rsidRDefault="00A96AFF"/>
    <w:p w14:paraId="259E4730" w14:textId="77777777" w:rsidR="00A96AFF" w:rsidRDefault="00A96AFF"/>
    <w:p w14:paraId="441DC92A" w14:textId="77777777" w:rsidR="00A96AFF" w:rsidRDefault="00A96AFF"/>
    <w:p w14:paraId="45BB2A19" w14:textId="77777777" w:rsidR="00A96AFF" w:rsidRDefault="00A96AFF"/>
    <w:p w14:paraId="384AD2C1" w14:textId="77777777" w:rsidR="00A96AFF" w:rsidRDefault="00A96AFF"/>
    <w:p w14:paraId="29840F81" w14:textId="77777777" w:rsidR="00A96AFF" w:rsidRDefault="00A96AFF" w:rsidP="00A96AFF">
      <w:pPr>
        <w:pStyle w:val="BodyText"/>
        <w:kinsoku w:val="0"/>
        <w:overflowPunct w:val="0"/>
        <w:spacing w:before="9"/>
      </w:pPr>
    </w:p>
    <w:p w14:paraId="4A539617" w14:textId="77777777" w:rsidR="00A96AFF" w:rsidRDefault="00A96AFF" w:rsidP="00A96AFF">
      <w:pPr>
        <w:pStyle w:val="BodyText"/>
        <w:kinsoku w:val="0"/>
        <w:overflowPunct w:val="0"/>
        <w:spacing w:line="60" w:lineRule="exact"/>
        <w:ind w:left="82"/>
        <w:rPr>
          <w:position w:val="-1"/>
          <w:sz w:val="6"/>
          <w:szCs w:val="6"/>
        </w:rPr>
      </w:pPr>
      <w:r>
        <w:rPr>
          <w:noProof/>
          <w:position w:val="-1"/>
          <w:sz w:val="6"/>
          <w:szCs w:val="6"/>
          <w:lang w:bidi="ar-SA"/>
        </w:rPr>
        <mc:AlternateContent>
          <mc:Choice Requires="wpg">
            <w:drawing>
              <wp:inline distT="0" distB="0" distL="0" distR="0" wp14:anchorId="6D99A8D9" wp14:editId="3AEF82D8">
                <wp:extent cx="5625465" cy="38100"/>
                <wp:effectExtent l="19050" t="0" r="2286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38100"/>
                          <a:chOff x="0" y="0"/>
                          <a:chExt cx="8859" cy="60"/>
                        </a:xfrm>
                      </wpg:grpSpPr>
                      <wps:wsp>
                        <wps:cNvPr id="11" name="Freeform 5"/>
                        <wps:cNvSpPr>
                          <a:spLocks/>
                        </wps:cNvSpPr>
                        <wps:spPr bwMode="auto">
                          <a:xfrm>
                            <a:off x="0" y="30"/>
                            <a:ext cx="8859" cy="20"/>
                          </a:xfrm>
                          <a:custGeom>
                            <a:avLst/>
                            <a:gdLst>
                              <a:gd name="T0" fmla="*/ 0 w 8859"/>
                              <a:gd name="T1" fmla="*/ 0 h 20"/>
                              <a:gd name="T2" fmla="*/ 8858 w 8859"/>
                              <a:gd name="T3" fmla="*/ 0 h 20"/>
                            </a:gdLst>
                            <a:ahLst/>
                            <a:cxnLst>
                              <a:cxn ang="0">
                                <a:pos x="T0" y="T1"/>
                              </a:cxn>
                              <a:cxn ang="0">
                                <a:pos x="T2" y="T3"/>
                              </a:cxn>
                            </a:cxnLst>
                            <a:rect l="0" t="0" r="r" b="b"/>
                            <a:pathLst>
                              <a:path w="8859" h="20">
                                <a:moveTo>
                                  <a:pt x="0" y="0"/>
                                </a:moveTo>
                                <a:lnTo>
                                  <a:pt x="8858" y="0"/>
                                </a:lnTo>
                              </a:path>
                            </a:pathLst>
                          </a:custGeom>
                          <a:noFill/>
                          <a:ln w="381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7E1548" id="Group 10" o:spid="_x0000_s1026" style="width:442.95pt;height:3pt;mso-position-horizontal-relative:char;mso-position-vertical-relative:line" coordsize="88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">
                <v:shape id="Freeform 5" o:spid="_x0000_s1027" style="position:absolute;top:30;width:8859;height:20;visibility:visible;mso-wrap-style:square;v-text-anchor:top" coordsize="8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" path="m,l8858,e" filled="f" strokecolor="#5b9bd5" strokeweight="3pt">
                  <v:path arrowok="t" o:connecttype="custom" o:connectlocs="0,0;8858,0" o:connectangles="0,0"/>
                </v:shape>
                <w10:anchorlock/>
              </v:group>
            </w:pict>
          </mc:Fallback>
        </mc:AlternateContent>
      </w:r>
    </w:p>
    <w:p w14:paraId="03B1BC1D" w14:textId="77777777" w:rsidR="00A96AFF" w:rsidRDefault="00A96AFF" w:rsidP="00A96AFF">
      <w:pPr>
        <w:pStyle w:val="BodyText"/>
        <w:kinsoku w:val="0"/>
        <w:overflowPunct w:val="0"/>
        <w:spacing w:before="155"/>
        <w:ind w:left="140" w:right="136"/>
        <w:jc w:val="both"/>
      </w:pPr>
      <w:r>
        <w:t>This catalogue contains information provided by the ID5 partners. The document is for educational and informational purposes only. It aims to reflect the practices of the participating offices in the area of industrial designs. The ID5 partners are not responsible for any use that may be made of the information contained in the catalogue. Readers looking for reference or additional material related to applications or practice before an ID5 partner are encouraged to consult the website of the respective ID5 partner.</w:t>
      </w:r>
    </w:p>
    <w:p w14:paraId="548A4A26" w14:textId="77777777" w:rsidR="00A96AFF" w:rsidRDefault="00A96AFF" w:rsidP="00A96AFF">
      <w:pPr>
        <w:pStyle w:val="BodyText"/>
        <w:kinsoku w:val="0"/>
        <w:overflowPunct w:val="0"/>
        <w:spacing w:before="9"/>
        <w:rPr>
          <w:sz w:val="12"/>
          <w:szCs w:val="12"/>
        </w:rPr>
      </w:pPr>
    </w:p>
    <w:p w14:paraId="584B74B0" w14:textId="77777777" w:rsidR="00A96AFF" w:rsidRDefault="00A96AFF" w:rsidP="00A96AFF">
      <w:pPr>
        <w:pStyle w:val="BodyText"/>
        <w:kinsoku w:val="0"/>
        <w:overflowPunct w:val="0"/>
        <w:spacing w:line="60" w:lineRule="exact"/>
        <w:ind w:left="82"/>
        <w:rPr>
          <w:position w:val="-1"/>
          <w:sz w:val="6"/>
          <w:szCs w:val="6"/>
        </w:rPr>
      </w:pPr>
      <w:r>
        <w:rPr>
          <w:noProof/>
          <w:position w:val="-1"/>
          <w:sz w:val="6"/>
          <w:szCs w:val="6"/>
          <w:lang w:bidi="ar-SA"/>
        </w:rPr>
        <mc:AlternateContent>
          <mc:Choice Requires="wpg">
            <w:drawing>
              <wp:inline distT="0" distB="0" distL="0" distR="0" wp14:anchorId="117B759C" wp14:editId="485B8CAE">
                <wp:extent cx="5625465" cy="38100"/>
                <wp:effectExtent l="19050" t="0" r="2286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38100"/>
                          <a:chOff x="0" y="0"/>
                          <a:chExt cx="8859" cy="60"/>
                        </a:xfrm>
                      </wpg:grpSpPr>
                      <wps:wsp>
                        <wps:cNvPr id="9" name="Freeform 3"/>
                        <wps:cNvSpPr>
                          <a:spLocks/>
                        </wps:cNvSpPr>
                        <wps:spPr bwMode="auto">
                          <a:xfrm>
                            <a:off x="0" y="30"/>
                            <a:ext cx="8859" cy="20"/>
                          </a:xfrm>
                          <a:custGeom>
                            <a:avLst/>
                            <a:gdLst>
                              <a:gd name="T0" fmla="*/ 0 w 8859"/>
                              <a:gd name="T1" fmla="*/ 0 h 20"/>
                              <a:gd name="T2" fmla="*/ 8858 w 8859"/>
                              <a:gd name="T3" fmla="*/ 0 h 20"/>
                            </a:gdLst>
                            <a:ahLst/>
                            <a:cxnLst>
                              <a:cxn ang="0">
                                <a:pos x="T0" y="T1"/>
                              </a:cxn>
                              <a:cxn ang="0">
                                <a:pos x="T2" y="T3"/>
                              </a:cxn>
                            </a:cxnLst>
                            <a:rect l="0" t="0" r="r" b="b"/>
                            <a:pathLst>
                              <a:path w="8859" h="20">
                                <a:moveTo>
                                  <a:pt x="0" y="0"/>
                                </a:moveTo>
                                <a:lnTo>
                                  <a:pt x="8858" y="0"/>
                                </a:lnTo>
                              </a:path>
                            </a:pathLst>
                          </a:custGeom>
                          <a:noFill/>
                          <a:ln w="381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AF57FB" id="Group 8" o:spid="_x0000_s1026" style="width:442.95pt;height:3pt;mso-position-horizontal-relative:char;mso-position-vertical-relative:line" coordsize="88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">
                <v:shape id="Freeform 3" o:spid="_x0000_s1027" style="position:absolute;top:30;width:8859;height:20;visibility:visible;mso-wrap-style:square;v-text-anchor:top" coordsize="8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" path="m,l8858,e" filled="f" strokecolor="#5b9bd5" strokeweight="3pt">
                  <v:path arrowok="t" o:connecttype="custom" o:connectlocs="0,0;8858,0" o:connectangles="0,0"/>
                </v:shape>
                <w10:anchorlock/>
              </v:group>
            </w:pict>
          </mc:Fallback>
        </mc:AlternateContent>
      </w:r>
    </w:p>
    <w:p w14:paraId="61C85874" w14:textId="77777777" w:rsidR="00A96AFF" w:rsidRDefault="00A96AFF">
      <w:pPr>
        <w:sectPr w:rsidR="00A96AFF">
          <w:pgSz w:w="11900" w:h="16838"/>
          <w:pgMar w:top="1434" w:right="1440" w:bottom="1440" w:left="1440" w:header="0" w:footer="0" w:gutter="0"/>
          <w:cols w:space="720" w:equalWidth="0">
            <w:col w:w="9026"/>
          </w:cols>
        </w:sectPr>
      </w:pPr>
    </w:p>
    <w:p w14:paraId="5DF65625" w14:textId="77777777" w:rsidR="007525F7" w:rsidRDefault="00090375">
      <w:pPr>
        <w:spacing w:line="200" w:lineRule="exact"/>
        <w:rPr>
          <w:sz w:val="20"/>
          <w:szCs w:val="20"/>
        </w:rPr>
      </w:pPr>
      <w:bookmarkStart w:id="1" w:name="page2"/>
      <w:bookmarkEnd w:id="1"/>
      <w:r>
        <w:rPr>
          <w:noProof/>
          <w:sz w:val="20"/>
          <w:szCs w:val="20"/>
          <w:lang w:val="en-IE" w:eastAsia="en-IE"/>
        </w:rPr>
        <w:lastRenderedPageBreak/>
        <w:drawing>
          <wp:anchor distT="0" distB="0" distL="114300" distR="114300" simplePos="0" relativeHeight="251656192" behindDoc="1" locked="0" layoutInCell="0" allowOverlap="1" wp14:anchorId="7B30D316" wp14:editId="1B1EF811">
            <wp:simplePos x="0" y="0"/>
            <wp:positionH relativeFrom="page">
              <wp:posOffset>316230</wp:posOffset>
            </wp:positionH>
            <wp:positionV relativeFrom="page">
              <wp:posOffset>450215</wp:posOffset>
            </wp:positionV>
            <wp:extent cx="120777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207770" cy="457200"/>
                    </a:xfrm>
                    <a:prstGeom prst="rect">
                      <a:avLst/>
                    </a:prstGeom>
                    <a:noFill/>
                  </pic:spPr>
                </pic:pic>
              </a:graphicData>
            </a:graphic>
          </wp:anchor>
        </w:drawing>
      </w:r>
    </w:p>
    <w:p w14:paraId="4E53BAE2" w14:textId="77777777" w:rsidR="007525F7" w:rsidRDefault="007525F7">
      <w:pPr>
        <w:spacing w:line="287" w:lineRule="exact"/>
        <w:rPr>
          <w:sz w:val="20"/>
          <w:szCs w:val="20"/>
        </w:rPr>
      </w:pPr>
    </w:p>
    <w:p w14:paraId="7D354A16" w14:textId="77777777" w:rsidR="007525F7" w:rsidRDefault="00090375">
      <w:pPr>
        <w:rPr>
          <w:sz w:val="20"/>
          <w:szCs w:val="20"/>
        </w:rPr>
      </w:pPr>
      <w:r>
        <w:rPr>
          <w:rFonts w:ascii="Arial" w:eastAsia="Arial" w:hAnsi="Arial" w:cs="Arial"/>
          <w:b/>
          <w:bCs/>
          <w:u w:val="single"/>
        </w:rPr>
        <w:t>SUMMARY</w:t>
      </w:r>
    </w:p>
    <w:p w14:paraId="006833F8" w14:textId="77777777" w:rsidR="007525F7" w:rsidRDefault="007525F7">
      <w:pPr>
        <w:spacing w:line="245" w:lineRule="exact"/>
        <w:rPr>
          <w:sz w:val="20"/>
          <w:szCs w:val="20"/>
        </w:rPr>
      </w:pPr>
    </w:p>
    <w:p w14:paraId="389E5BE1" w14:textId="3084164D" w:rsidR="007525F7" w:rsidRDefault="00090375" w:rsidP="00882AE7">
      <w:pPr>
        <w:spacing w:line="272" w:lineRule="auto"/>
        <w:ind w:right="106"/>
        <w:jc w:val="both"/>
        <w:rPr>
          <w:sz w:val="20"/>
          <w:szCs w:val="20"/>
        </w:rPr>
      </w:pPr>
      <w:r>
        <w:rPr>
          <w:rFonts w:ascii="Arial" w:eastAsia="Arial" w:hAnsi="Arial" w:cs="Arial"/>
        </w:rPr>
        <w:t xml:space="preserve">The aim of this project </w:t>
      </w:r>
      <w:r w:rsidR="003A771F">
        <w:rPr>
          <w:rFonts w:ascii="Arial" w:eastAsia="Arial" w:hAnsi="Arial" w:cs="Arial"/>
        </w:rPr>
        <w:t xml:space="preserve">was </w:t>
      </w:r>
      <w:r>
        <w:rPr>
          <w:rFonts w:ascii="Arial" w:eastAsia="Arial" w:hAnsi="Arial" w:cs="Arial"/>
        </w:rPr>
        <w:t xml:space="preserve">to develop a better understanding of the respective differences among practices of the ID5 Offices. The project </w:t>
      </w:r>
      <w:r w:rsidR="003A771F">
        <w:rPr>
          <w:rFonts w:ascii="Arial" w:eastAsia="Arial" w:hAnsi="Arial" w:cs="Arial"/>
        </w:rPr>
        <w:t xml:space="preserve">was contemplated as consisting </w:t>
      </w:r>
      <w:r>
        <w:rPr>
          <w:rFonts w:ascii="Arial" w:eastAsia="Arial" w:hAnsi="Arial" w:cs="Arial"/>
        </w:rPr>
        <w:t xml:space="preserve">of </w:t>
      </w:r>
      <w:r w:rsidR="003A771F">
        <w:rPr>
          <w:rFonts w:ascii="Arial" w:eastAsia="Arial" w:hAnsi="Arial" w:cs="Arial"/>
        </w:rPr>
        <w:t xml:space="preserve">potentially two </w:t>
      </w:r>
      <w:r>
        <w:rPr>
          <w:rFonts w:ascii="Arial" w:eastAsia="Arial" w:hAnsi="Arial" w:cs="Arial"/>
        </w:rPr>
        <w:t>phases</w:t>
      </w:r>
      <w:r w:rsidR="003A771F">
        <w:rPr>
          <w:rFonts w:ascii="Arial" w:eastAsia="Arial" w:hAnsi="Arial" w:cs="Arial"/>
        </w:rPr>
        <w:t>:</w:t>
      </w:r>
      <w:r>
        <w:rPr>
          <w:rFonts w:ascii="Arial" w:eastAsia="Arial" w:hAnsi="Arial" w:cs="Arial"/>
        </w:rPr>
        <w:t>.</w:t>
      </w:r>
    </w:p>
    <w:p w14:paraId="2E3795B7" w14:textId="77777777" w:rsidR="007525F7" w:rsidRDefault="007525F7" w:rsidP="00882AE7">
      <w:pPr>
        <w:spacing w:line="213" w:lineRule="exact"/>
        <w:jc w:val="both"/>
        <w:rPr>
          <w:sz w:val="20"/>
          <w:szCs w:val="20"/>
        </w:rPr>
      </w:pPr>
    </w:p>
    <w:p w14:paraId="25776094" w14:textId="77777777" w:rsidR="007525F7" w:rsidRDefault="00090375" w:rsidP="00882AE7">
      <w:pPr>
        <w:spacing w:line="267" w:lineRule="auto"/>
        <w:ind w:right="286"/>
        <w:jc w:val="both"/>
        <w:rPr>
          <w:sz w:val="20"/>
          <w:szCs w:val="20"/>
        </w:rPr>
      </w:pPr>
      <w:r>
        <w:rPr>
          <w:rFonts w:ascii="Arial" w:eastAsia="Arial" w:hAnsi="Arial" w:cs="Arial"/>
          <w:b/>
          <w:bCs/>
          <w:sz w:val="20"/>
          <w:szCs w:val="20"/>
        </w:rPr>
        <w:t xml:space="preserve">Phase I: </w:t>
      </w:r>
      <w:r>
        <w:rPr>
          <w:rFonts w:ascii="Arial" w:eastAsia="Arial" w:hAnsi="Arial" w:cs="Arial"/>
        </w:rPr>
        <w:t>Preliminary comparative study of legal provisions and practices regarding product</w:t>
      </w:r>
      <w:r>
        <w:rPr>
          <w:rFonts w:ascii="Arial" w:eastAsia="Arial" w:hAnsi="Arial" w:cs="Arial"/>
          <w:b/>
          <w:bCs/>
          <w:sz w:val="20"/>
          <w:szCs w:val="20"/>
        </w:rPr>
        <w:t xml:space="preserve"> </w:t>
      </w:r>
      <w:r>
        <w:rPr>
          <w:rFonts w:ascii="Arial" w:eastAsia="Arial" w:hAnsi="Arial" w:cs="Arial"/>
        </w:rPr>
        <w:t>indications.</w:t>
      </w:r>
    </w:p>
    <w:p w14:paraId="6FC0D219" w14:textId="77777777" w:rsidR="007525F7" w:rsidRDefault="007525F7" w:rsidP="00882AE7">
      <w:pPr>
        <w:spacing w:line="220" w:lineRule="exact"/>
        <w:jc w:val="both"/>
        <w:rPr>
          <w:sz w:val="20"/>
          <w:szCs w:val="20"/>
        </w:rPr>
      </w:pPr>
    </w:p>
    <w:p w14:paraId="5348FC19" w14:textId="77777777" w:rsidR="007525F7" w:rsidRDefault="00090375" w:rsidP="00882AE7">
      <w:pPr>
        <w:spacing w:line="267" w:lineRule="auto"/>
        <w:ind w:right="826"/>
        <w:jc w:val="both"/>
        <w:rPr>
          <w:sz w:val="20"/>
          <w:szCs w:val="20"/>
        </w:rPr>
      </w:pPr>
      <w:bookmarkStart w:id="2" w:name="_Hlk32581591"/>
      <w:r>
        <w:rPr>
          <w:rFonts w:ascii="Arial" w:eastAsia="Arial" w:hAnsi="Arial" w:cs="Arial"/>
          <w:b/>
          <w:bCs/>
          <w:sz w:val="20"/>
          <w:szCs w:val="20"/>
        </w:rPr>
        <w:t xml:space="preserve">Phase II: </w:t>
      </w:r>
      <w:r>
        <w:rPr>
          <w:rFonts w:ascii="Arial" w:eastAsia="Arial" w:hAnsi="Arial" w:cs="Arial"/>
        </w:rPr>
        <w:t xml:space="preserve">Creation of an ID5 product indication database. This phase </w:t>
      </w:r>
      <w:r w:rsidRPr="004D4F6D">
        <w:rPr>
          <w:rFonts w:ascii="Arial" w:eastAsia="Arial" w:hAnsi="Arial" w:cs="Arial"/>
        </w:rPr>
        <w:t>depend</w:t>
      </w:r>
      <w:r w:rsidRPr="00882AE7">
        <w:rPr>
          <w:rFonts w:ascii="Arial" w:eastAsia="Arial" w:hAnsi="Arial" w:cs="Arial"/>
          <w:strike/>
          <w:color w:val="FF0000"/>
        </w:rPr>
        <w:t>s</w:t>
      </w:r>
      <w:r w:rsidR="004D4F6D" w:rsidRPr="00882AE7">
        <w:rPr>
          <w:rFonts w:ascii="Arial" w:eastAsia="Arial" w:hAnsi="Arial" w:cs="Arial"/>
          <w:color w:val="FF0000"/>
        </w:rPr>
        <w:t>ed</w:t>
      </w:r>
      <w:r>
        <w:rPr>
          <w:rFonts w:ascii="Arial" w:eastAsia="Arial" w:hAnsi="Arial" w:cs="Arial"/>
        </w:rPr>
        <w:t xml:space="preserve"> on the</w:t>
      </w:r>
      <w:r>
        <w:rPr>
          <w:rFonts w:ascii="Arial" w:eastAsia="Arial" w:hAnsi="Arial" w:cs="Arial"/>
          <w:b/>
          <w:bCs/>
          <w:sz w:val="20"/>
          <w:szCs w:val="20"/>
        </w:rPr>
        <w:t xml:space="preserve"> </w:t>
      </w:r>
      <w:r>
        <w:rPr>
          <w:rFonts w:ascii="Arial" w:eastAsia="Arial" w:hAnsi="Arial" w:cs="Arial"/>
        </w:rPr>
        <w:t>conclusions derived at the completion of the preliminary study described in phase 1.</w:t>
      </w:r>
    </w:p>
    <w:bookmarkEnd w:id="2"/>
    <w:p w14:paraId="31FC1E07" w14:textId="77777777" w:rsidR="007525F7" w:rsidRDefault="007525F7" w:rsidP="00882AE7">
      <w:pPr>
        <w:spacing w:line="200" w:lineRule="exact"/>
        <w:jc w:val="both"/>
        <w:rPr>
          <w:sz w:val="20"/>
          <w:szCs w:val="20"/>
        </w:rPr>
      </w:pPr>
    </w:p>
    <w:p w14:paraId="3018CF4E" w14:textId="77777777" w:rsidR="007839F7" w:rsidRDefault="007839F7" w:rsidP="00882AE7">
      <w:pPr>
        <w:spacing w:line="250" w:lineRule="auto"/>
        <w:ind w:right="20"/>
        <w:jc w:val="both"/>
        <w:rPr>
          <w:rFonts w:ascii="Arial" w:eastAsia="Arial" w:hAnsi="Arial" w:cs="Arial"/>
          <w:sz w:val="21"/>
          <w:szCs w:val="21"/>
        </w:rPr>
      </w:pPr>
      <w:r>
        <w:rPr>
          <w:rFonts w:ascii="Arial" w:eastAsia="Arial" w:hAnsi="Arial" w:cs="Arial"/>
          <w:sz w:val="21"/>
          <w:szCs w:val="21"/>
        </w:rPr>
        <w:t xml:space="preserve">Following a short-term pilot phase after completion of Phase I, the Partners reached consensus to not pursue Phase II and proceeded to closure of project.  </w:t>
      </w:r>
    </w:p>
    <w:p w14:paraId="42D5B83B" w14:textId="77777777" w:rsidR="007525F7" w:rsidRDefault="007525F7" w:rsidP="00882AE7">
      <w:pPr>
        <w:spacing w:line="200" w:lineRule="exact"/>
        <w:jc w:val="both"/>
        <w:rPr>
          <w:sz w:val="20"/>
          <w:szCs w:val="20"/>
        </w:rPr>
      </w:pPr>
    </w:p>
    <w:p w14:paraId="1C09818F" w14:textId="77777777" w:rsidR="007525F7" w:rsidRDefault="007525F7" w:rsidP="00882AE7">
      <w:pPr>
        <w:spacing w:line="301" w:lineRule="exact"/>
        <w:jc w:val="both"/>
        <w:rPr>
          <w:sz w:val="20"/>
          <w:szCs w:val="20"/>
        </w:rPr>
      </w:pPr>
    </w:p>
    <w:p w14:paraId="4E8F6819" w14:textId="77777777" w:rsidR="007525F7" w:rsidRDefault="007525F7" w:rsidP="00882AE7">
      <w:pPr>
        <w:spacing w:line="247" w:lineRule="exact"/>
        <w:jc w:val="both"/>
        <w:rPr>
          <w:sz w:val="20"/>
          <w:szCs w:val="20"/>
        </w:rPr>
      </w:pPr>
    </w:p>
    <w:p w14:paraId="6E995514" w14:textId="77777777" w:rsidR="007525F7" w:rsidRDefault="00090375" w:rsidP="00882AE7">
      <w:pPr>
        <w:spacing w:line="274" w:lineRule="auto"/>
        <w:ind w:right="166"/>
        <w:jc w:val="both"/>
        <w:rPr>
          <w:sz w:val="20"/>
          <w:szCs w:val="20"/>
        </w:rPr>
      </w:pPr>
      <w:r>
        <w:rPr>
          <w:rFonts w:ascii="Arial" w:eastAsia="Arial" w:hAnsi="Arial" w:cs="Arial"/>
        </w:rPr>
        <w:t>For the purpose of phase 1 the Partners were requested to submit information based on their Regulations and Guidelines about their established acceptability criteria for indications of product, grounds for objection, as well as practices of ex-officio amendment of product indications or suggestions for amendment and the effects of those practices to the registration and scope of protection of a design.</w:t>
      </w:r>
    </w:p>
    <w:p w14:paraId="0B61E3D8" w14:textId="77777777" w:rsidR="007525F7" w:rsidRDefault="007525F7" w:rsidP="00882AE7">
      <w:pPr>
        <w:spacing w:line="210" w:lineRule="exact"/>
        <w:jc w:val="both"/>
        <w:rPr>
          <w:sz w:val="20"/>
          <w:szCs w:val="20"/>
        </w:rPr>
      </w:pPr>
    </w:p>
    <w:p w14:paraId="456E8772" w14:textId="77777777" w:rsidR="007525F7" w:rsidRDefault="00090375" w:rsidP="00882AE7">
      <w:pPr>
        <w:spacing w:line="267" w:lineRule="auto"/>
        <w:ind w:right="466"/>
        <w:jc w:val="both"/>
        <w:rPr>
          <w:sz w:val="20"/>
          <w:szCs w:val="20"/>
        </w:rPr>
      </w:pPr>
      <w:r>
        <w:rPr>
          <w:rFonts w:ascii="Arial" w:eastAsia="Arial" w:hAnsi="Arial" w:cs="Arial"/>
        </w:rPr>
        <w:t>Partners were also requested to provide information about their established practices on specific types of products.</w:t>
      </w:r>
    </w:p>
    <w:p w14:paraId="3C4F002C" w14:textId="77777777" w:rsidR="007525F7" w:rsidRDefault="007525F7" w:rsidP="00882AE7">
      <w:pPr>
        <w:spacing w:line="220" w:lineRule="exact"/>
        <w:jc w:val="both"/>
        <w:rPr>
          <w:sz w:val="20"/>
          <w:szCs w:val="20"/>
        </w:rPr>
      </w:pPr>
    </w:p>
    <w:p w14:paraId="3DC67712" w14:textId="77777777" w:rsidR="007525F7" w:rsidRDefault="00090375" w:rsidP="00882AE7">
      <w:pPr>
        <w:spacing w:line="267" w:lineRule="auto"/>
        <w:ind w:right="26"/>
        <w:jc w:val="both"/>
        <w:rPr>
          <w:sz w:val="20"/>
          <w:szCs w:val="20"/>
        </w:rPr>
      </w:pPr>
      <w:r>
        <w:rPr>
          <w:rFonts w:ascii="Arial" w:eastAsia="Arial" w:hAnsi="Arial" w:cs="Arial"/>
        </w:rPr>
        <w:t>As agreed later among the Partners the information was provided in the form of answers to a questionnaire prepared by the Lead Office.</w:t>
      </w:r>
    </w:p>
    <w:p w14:paraId="01D2B447" w14:textId="77777777" w:rsidR="007525F7" w:rsidRDefault="007525F7" w:rsidP="00882AE7">
      <w:pPr>
        <w:spacing w:line="212" w:lineRule="exact"/>
        <w:jc w:val="both"/>
        <w:rPr>
          <w:sz w:val="20"/>
          <w:szCs w:val="20"/>
        </w:rPr>
      </w:pPr>
    </w:p>
    <w:p w14:paraId="0B5AA6E4" w14:textId="77777777" w:rsidR="007525F7" w:rsidRDefault="00090375" w:rsidP="00882AE7">
      <w:pPr>
        <w:jc w:val="both"/>
        <w:rPr>
          <w:sz w:val="20"/>
          <w:szCs w:val="20"/>
        </w:rPr>
      </w:pPr>
      <w:r>
        <w:rPr>
          <w:rFonts w:ascii="Arial" w:eastAsia="Arial" w:hAnsi="Arial" w:cs="Arial"/>
        </w:rPr>
        <w:t>The information received can be summarized as follows:</w:t>
      </w:r>
    </w:p>
    <w:p w14:paraId="2FC13AEB" w14:textId="77777777" w:rsidR="007525F7" w:rsidRDefault="007525F7" w:rsidP="00882AE7">
      <w:pPr>
        <w:spacing w:line="239" w:lineRule="exact"/>
        <w:jc w:val="both"/>
        <w:rPr>
          <w:sz w:val="20"/>
          <w:szCs w:val="20"/>
        </w:rPr>
      </w:pPr>
    </w:p>
    <w:p w14:paraId="22FE1BC9" w14:textId="77777777" w:rsidR="007525F7" w:rsidRDefault="00090375" w:rsidP="00882AE7">
      <w:pPr>
        <w:jc w:val="both"/>
        <w:rPr>
          <w:sz w:val="20"/>
          <w:szCs w:val="20"/>
        </w:rPr>
      </w:pPr>
      <w:r>
        <w:rPr>
          <w:rFonts w:ascii="Arial" w:eastAsia="Arial" w:hAnsi="Arial" w:cs="Arial"/>
          <w:b/>
          <w:bCs/>
          <w:i/>
          <w:iCs/>
          <w:sz w:val="20"/>
          <w:szCs w:val="20"/>
        </w:rPr>
        <w:t>General practice</w:t>
      </w:r>
    </w:p>
    <w:p w14:paraId="097CB11F" w14:textId="77777777" w:rsidR="007525F7" w:rsidRDefault="007525F7" w:rsidP="00882AE7">
      <w:pPr>
        <w:spacing w:line="241" w:lineRule="exact"/>
        <w:jc w:val="both"/>
        <w:rPr>
          <w:sz w:val="20"/>
          <w:szCs w:val="20"/>
        </w:rPr>
      </w:pPr>
    </w:p>
    <w:p w14:paraId="0FA3ABD9" w14:textId="621D74DD" w:rsidR="007525F7" w:rsidRDefault="00090375" w:rsidP="00882AE7">
      <w:pPr>
        <w:spacing w:line="267" w:lineRule="auto"/>
        <w:ind w:right="426"/>
        <w:jc w:val="both"/>
        <w:rPr>
          <w:sz w:val="20"/>
          <w:szCs w:val="20"/>
        </w:rPr>
      </w:pPr>
      <w:r>
        <w:rPr>
          <w:rFonts w:ascii="Arial" w:eastAsia="Arial" w:hAnsi="Arial" w:cs="Arial"/>
        </w:rPr>
        <w:t xml:space="preserve">The general requirements for indication of product/title of article filed in an application for design registration </w:t>
      </w:r>
      <w:r w:rsidR="00D22B48">
        <w:rPr>
          <w:rFonts w:ascii="Arial" w:eastAsia="Arial" w:hAnsi="Arial" w:cs="Arial"/>
        </w:rPr>
        <w:t xml:space="preserve">possess many similarities in the </w:t>
      </w:r>
      <w:r>
        <w:rPr>
          <w:rFonts w:ascii="Arial" w:eastAsia="Arial" w:hAnsi="Arial" w:cs="Arial"/>
        </w:rPr>
        <w:t>Partners´ practices.</w:t>
      </w:r>
    </w:p>
    <w:p w14:paraId="15045ACB" w14:textId="77777777" w:rsidR="007525F7" w:rsidRDefault="007525F7" w:rsidP="00882AE7">
      <w:pPr>
        <w:spacing w:line="220" w:lineRule="exact"/>
        <w:jc w:val="both"/>
        <w:rPr>
          <w:sz w:val="20"/>
          <w:szCs w:val="20"/>
        </w:rPr>
      </w:pPr>
    </w:p>
    <w:p w14:paraId="631BED5B" w14:textId="77777777" w:rsidR="007525F7" w:rsidRDefault="00090375" w:rsidP="00882AE7">
      <w:pPr>
        <w:spacing w:line="267" w:lineRule="auto"/>
        <w:ind w:right="226"/>
        <w:jc w:val="both"/>
        <w:rPr>
          <w:sz w:val="20"/>
          <w:szCs w:val="20"/>
        </w:rPr>
      </w:pPr>
      <w:r>
        <w:rPr>
          <w:rFonts w:ascii="Arial" w:eastAsia="Arial" w:hAnsi="Arial" w:cs="Arial"/>
        </w:rPr>
        <w:t>A design application must include an indication of the product which the design is intended to be incorporated in or applied to.</w:t>
      </w:r>
    </w:p>
    <w:p w14:paraId="416DA8D1" w14:textId="77777777" w:rsidR="007525F7" w:rsidRDefault="007525F7" w:rsidP="00882AE7">
      <w:pPr>
        <w:spacing w:line="217" w:lineRule="exact"/>
        <w:jc w:val="both"/>
        <w:rPr>
          <w:sz w:val="20"/>
          <w:szCs w:val="20"/>
        </w:rPr>
      </w:pPr>
    </w:p>
    <w:p w14:paraId="26F23989" w14:textId="77777777" w:rsidR="007525F7" w:rsidRDefault="00090375" w:rsidP="00882AE7">
      <w:pPr>
        <w:spacing w:line="294" w:lineRule="auto"/>
        <w:ind w:right="6"/>
        <w:jc w:val="both"/>
        <w:rPr>
          <w:sz w:val="20"/>
          <w:szCs w:val="20"/>
        </w:rPr>
      </w:pPr>
      <w:r>
        <w:rPr>
          <w:rFonts w:ascii="Arial" w:eastAsia="Arial" w:hAnsi="Arial" w:cs="Arial"/>
          <w:sz w:val="21"/>
          <w:szCs w:val="21"/>
        </w:rPr>
        <w:t>The indication of product must correspond to the representation of the design and be worded in such a way as to describe clearly the nature of the product and to enable classification.</w:t>
      </w:r>
    </w:p>
    <w:p w14:paraId="35960DEB" w14:textId="77777777" w:rsidR="007525F7" w:rsidRDefault="007525F7" w:rsidP="00882AE7">
      <w:pPr>
        <w:spacing w:line="191" w:lineRule="exact"/>
        <w:jc w:val="both"/>
        <w:rPr>
          <w:sz w:val="20"/>
          <w:szCs w:val="20"/>
        </w:rPr>
      </w:pPr>
    </w:p>
    <w:p w14:paraId="58A0BF58" w14:textId="77777777" w:rsidR="007525F7" w:rsidRDefault="00090375" w:rsidP="00882AE7">
      <w:pPr>
        <w:spacing w:line="267" w:lineRule="auto"/>
        <w:ind w:right="6"/>
        <w:jc w:val="both"/>
        <w:rPr>
          <w:sz w:val="20"/>
          <w:szCs w:val="20"/>
        </w:rPr>
      </w:pPr>
      <w:r>
        <w:rPr>
          <w:rFonts w:ascii="Arial" w:eastAsia="Arial" w:hAnsi="Arial" w:cs="Arial"/>
        </w:rPr>
        <w:t>When any of the above requirements is not fulfilled the Offices object the application and ask the applicant to amend the irregularity.</w:t>
      </w:r>
    </w:p>
    <w:p w14:paraId="29D97E0B" w14:textId="77777777" w:rsidR="007525F7" w:rsidRDefault="007525F7" w:rsidP="00882AE7">
      <w:pPr>
        <w:spacing w:line="213" w:lineRule="exact"/>
        <w:jc w:val="both"/>
        <w:rPr>
          <w:sz w:val="20"/>
          <w:szCs w:val="20"/>
        </w:rPr>
      </w:pPr>
    </w:p>
    <w:p w14:paraId="17C53521" w14:textId="77777777" w:rsidR="007525F7" w:rsidRDefault="00090375" w:rsidP="00882AE7">
      <w:pPr>
        <w:numPr>
          <w:ilvl w:val="0"/>
          <w:numId w:val="1"/>
        </w:numPr>
        <w:tabs>
          <w:tab w:val="left" w:pos="720"/>
        </w:tabs>
        <w:ind w:left="720" w:hanging="360"/>
        <w:jc w:val="both"/>
        <w:rPr>
          <w:rFonts w:ascii="Symbol" w:eastAsia="Symbol" w:hAnsi="Symbol" w:cs="Symbol"/>
          <w:sz w:val="20"/>
          <w:szCs w:val="20"/>
        </w:rPr>
      </w:pPr>
      <w:r>
        <w:rPr>
          <w:rFonts w:ascii="Arial" w:eastAsia="Arial" w:hAnsi="Arial" w:cs="Arial"/>
          <w:sz w:val="20"/>
          <w:szCs w:val="20"/>
          <w:u w:val="single"/>
        </w:rPr>
        <w:t>Amendments upon applicant´s request</w:t>
      </w:r>
    </w:p>
    <w:p w14:paraId="0393F142" w14:textId="77777777" w:rsidR="007525F7" w:rsidRDefault="007525F7" w:rsidP="00882AE7">
      <w:pPr>
        <w:spacing w:line="239" w:lineRule="exact"/>
        <w:jc w:val="both"/>
        <w:rPr>
          <w:sz w:val="20"/>
          <w:szCs w:val="20"/>
        </w:rPr>
      </w:pPr>
    </w:p>
    <w:p w14:paraId="5D9B2247" w14:textId="77777777" w:rsidR="007525F7" w:rsidRDefault="00090375" w:rsidP="00882AE7">
      <w:pPr>
        <w:spacing w:line="274" w:lineRule="auto"/>
        <w:ind w:right="106"/>
        <w:jc w:val="both"/>
        <w:rPr>
          <w:sz w:val="20"/>
          <w:szCs w:val="20"/>
        </w:rPr>
      </w:pPr>
      <w:r>
        <w:rPr>
          <w:rFonts w:ascii="Arial" w:eastAsia="Arial" w:hAnsi="Arial" w:cs="Arial"/>
        </w:rPr>
        <w:t xml:space="preserve">In principle, amendments of the product indication are allowed before the registration of the design by all Offices provided such amendment is not beyond the scope of the original application and does not introduce new matter. Amendments in the indication of product are </w:t>
      </w:r>
      <w:r>
        <w:rPr>
          <w:rFonts w:ascii="Arial" w:eastAsia="Arial" w:hAnsi="Arial" w:cs="Arial"/>
        </w:rPr>
        <w:lastRenderedPageBreak/>
        <w:t>not allowed at post registration stage except for amendments of errors attributed to the Offices. However, according to the USPTO practice the designated article of manufacture</w:t>
      </w:r>
    </w:p>
    <w:p w14:paraId="237EEB91" w14:textId="77777777" w:rsidR="007525F7" w:rsidRDefault="00090375" w:rsidP="00882AE7">
      <w:pPr>
        <w:spacing w:line="3" w:lineRule="exact"/>
        <w:jc w:val="both"/>
        <w:rPr>
          <w:sz w:val="20"/>
          <w:szCs w:val="20"/>
        </w:rPr>
      </w:pPr>
      <w:bookmarkStart w:id="3" w:name="page3"/>
      <w:bookmarkEnd w:id="3"/>
      <w:r>
        <w:rPr>
          <w:noProof/>
          <w:sz w:val="20"/>
          <w:szCs w:val="20"/>
          <w:lang w:val="en-IE" w:eastAsia="en-IE"/>
        </w:rPr>
        <w:drawing>
          <wp:anchor distT="0" distB="0" distL="114300" distR="114300" simplePos="0" relativeHeight="251657216" behindDoc="1" locked="0" layoutInCell="0" allowOverlap="1" wp14:anchorId="3295C0AA" wp14:editId="360CF540">
            <wp:simplePos x="0" y="0"/>
            <wp:positionH relativeFrom="page">
              <wp:posOffset>316230</wp:posOffset>
            </wp:positionH>
            <wp:positionV relativeFrom="page">
              <wp:posOffset>450215</wp:posOffset>
            </wp:positionV>
            <wp:extent cx="120777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207770" cy="457200"/>
                    </a:xfrm>
                    <a:prstGeom prst="rect">
                      <a:avLst/>
                    </a:prstGeom>
                    <a:noFill/>
                  </pic:spPr>
                </pic:pic>
              </a:graphicData>
            </a:graphic>
          </wp:anchor>
        </w:drawing>
      </w:r>
    </w:p>
    <w:p w14:paraId="571FD11F" w14:textId="77777777" w:rsidR="007525F7" w:rsidRDefault="00090375" w:rsidP="00882AE7">
      <w:pPr>
        <w:spacing w:line="267" w:lineRule="auto"/>
        <w:ind w:right="246"/>
        <w:jc w:val="both"/>
        <w:rPr>
          <w:sz w:val="20"/>
          <w:szCs w:val="20"/>
        </w:rPr>
      </w:pPr>
      <w:r>
        <w:rPr>
          <w:rFonts w:ascii="Arial" w:eastAsia="Arial" w:hAnsi="Arial" w:cs="Arial"/>
        </w:rPr>
        <w:t>may be amended pursuant to a reissue application, a re-examination proceeding, an inter-partes review, or a post grant review.</w:t>
      </w:r>
    </w:p>
    <w:p w14:paraId="7AA67BFB" w14:textId="77777777" w:rsidR="007525F7" w:rsidRDefault="007525F7" w:rsidP="00882AE7">
      <w:pPr>
        <w:spacing w:line="213" w:lineRule="exact"/>
        <w:jc w:val="both"/>
        <w:rPr>
          <w:sz w:val="20"/>
          <w:szCs w:val="20"/>
        </w:rPr>
      </w:pPr>
    </w:p>
    <w:p w14:paraId="5FEF57B3" w14:textId="77777777" w:rsidR="007525F7" w:rsidRDefault="00090375" w:rsidP="00882AE7">
      <w:pPr>
        <w:numPr>
          <w:ilvl w:val="0"/>
          <w:numId w:val="2"/>
        </w:numPr>
        <w:tabs>
          <w:tab w:val="left" w:pos="720"/>
        </w:tabs>
        <w:ind w:left="720" w:hanging="360"/>
        <w:jc w:val="both"/>
        <w:rPr>
          <w:rFonts w:ascii="Symbol" w:eastAsia="Symbol" w:hAnsi="Symbol" w:cs="Symbol"/>
          <w:sz w:val="20"/>
          <w:szCs w:val="20"/>
        </w:rPr>
      </w:pPr>
      <w:r>
        <w:rPr>
          <w:rFonts w:ascii="Arial" w:eastAsia="Arial" w:hAnsi="Arial" w:cs="Arial"/>
          <w:sz w:val="20"/>
          <w:szCs w:val="20"/>
          <w:u w:val="single"/>
        </w:rPr>
        <w:t>Ex officio amendments</w:t>
      </w:r>
    </w:p>
    <w:p w14:paraId="7C045041" w14:textId="77777777" w:rsidR="007525F7" w:rsidRDefault="007525F7" w:rsidP="00882AE7">
      <w:pPr>
        <w:spacing w:line="239" w:lineRule="exact"/>
        <w:jc w:val="both"/>
        <w:rPr>
          <w:sz w:val="20"/>
          <w:szCs w:val="20"/>
        </w:rPr>
      </w:pPr>
    </w:p>
    <w:p w14:paraId="4C87D2D6" w14:textId="77777777" w:rsidR="007525F7" w:rsidRDefault="00090375" w:rsidP="00882AE7">
      <w:pPr>
        <w:spacing w:line="274" w:lineRule="auto"/>
        <w:ind w:right="46"/>
        <w:jc w:val="both"/>
        <w:rPr>
          <w:sz w:val="20"/>
          <w:szCs w:val="20"/>
        </w:rPr>
      </w:pPr>
      <w:r>
        <w:rPr>
          <w:rFonts w:ascii="Arial" w:eastAsia="Arial" w:hAnsi="Arial" w:cs="Arial"/>
        </w:rPr>
        <w:t>The Offices in general do not amend the product indication ex officio except for typos (KIPO) or obvious and formal defects (</w:t>
      </w:r>
      <w:r w:rsidR="00105AFD">
        <w:rPr>
          <w:rFonts w:ascii="Arial" w:eastAsia="Arial" w:hAnsi="Arial" w:cs="Arial"/>
        </w:rPr>
        <w:t>CNIPA</w:t>
      </w:r>
      <w:r>
        <w:rPr>
          <w:rFonts w:ascii="Arial" w:eastAsia="Arial" w:hAnsi="Arial" w:cs="Arial"/>
        </w:rPr>
        <w:t xml:space="preserve">). The only exception is EUIPO which applies a more flexible practice. Where an applicant uses terms that are not in the Locarno Classification or the database of product indications provided by the Office, the examiner will, in straightforward cases, substitute </w:t>
      </w:r>
      <w:r>
        <w:rPr>
          <w:rFonts w:ascii="Arial" w:eastAsia="Arial" w:hAnsi="Arial" w:cs="Arial"/>
          <w:i/>
          <w:iCs/>
        </w:rPr>
        <w:t>ex officio</w:t>
      </w:r>
      <w:r>
        <w:rPr>
          <w:rFonts w:ascii="Arial" w:eastAsia="Arial" w:hAnsi="Arial" w:cs="Arial"/>
        </w:rPr>
        <w:t xml:space="preserve"> the wording used by the applicant with an equivalent or more general term listed in the Locarno Classification or the database of product indications. The purpose of this is to avoid having to translate terms into all the EU languages, which would result in delays in processing the application.</w:t>
      </w:r>
    </w:p>
    <w:p w14:paraId="11B03416" w14:textId="77777777" w:rsidR="007525F7" w:rsidRDefault="007525F7" w:rsidP="00882AE7">
      <w:pPr>
        <w:spacing w:line="200" w:lineRule="exact"/>
        <w:jc w:val="both"/>
        <w:rPr>
          <w:sz w:val="20"/>
          <w:szCs w:val="20"/>
        </w:rPr>
      </w:pPr>
    </w:p>
    <w:p w14:paraId="2FCAE963" w14:textId="77777777" w:rsidR="007525F7" w:rsidRDefault="007525F7" w:rsidP="00882AE7">
      <w:pPr>
        <w:spacing w:line="200" w:lineRule="exact"/>
        <w:jc w:val="both"/>
        <w:rPr>
          <w:sz w:val="20"/>
          <w:szCs w:val="20"/>
        </w:rPr>
      </w:pPr>
    </w:p>
    <w:p w14:paraId="16685A0D" w14:textId="77777777" w:rsidR="007525F7" w:rsidRDefault="007525F7" w:rsidP="00882AE7">
      <w:pPr>
        <w:spacing w:line="304" w:lineRule="exact"/>
        <w:jc w:val="both"/>
        <w:rPr>
          <w:sz w:val="20"/>
          <w:szCs w:val="20"/>
        </w:rPr>
      </w:pPr>
    </w:p>
    <w:p w14:paraId="3C536B75" w14:textId="77777777" w:rsidR="007525F7" w:rsidRDefault="00090375" w:rsidP="00882AE7">
      <w:pPr>
        <w:jc w:val="both"/>
        <w:rPr>
          <w:sz w:val="20"/>
          <w:szCs w:val="20"/>
        </w:rPr>
      </w:pPr>
      <w:r>
        <w:rPr>
          <w:rFonts w:ascii="Arial" w:eastAsia="Arial" w:hAnsi="Arial" w:cs="Arial"/>
          <w:b/>
          <w:bCs/>
          <w:i/>
          <w:iCs/>
          <w:sz w:val="20"/>
          <w:szCs w:val="20"/>
        </w:rPr>
        <w:t>Practice on specific types of products</w:t>
      </w:r>
    </w:p>
    <w:p w14:paraId="674E2CF6" w14:textId="77777777" w:rsidR="007525F7" w:rsidRDefault="007525F7" w:rsidP="00882AE7">
      <w:pPr>
        <w:spacing w:line="233" w:lineRule="exact"/>
        <w:jc w:val="both"/>
        <w:rPr>
          <w:sz w:val="20"/>
          <w:szCs w:val="20"/>
        </w:rPr>
      </w:pPr>
    </w:p>
    <w:p w14:paraId="3D1FC1D1" w14:textId="77777777" w:rsidR="007525F7" w:rsidRDefault="00090375" w:rsidP="00882AE7">
      <w:pPr>
        <w:numPr>
          <w:ilvl w:val="0"/>
          <w:numId w:val="3"/>
        </w:numPr>
        <w:tabs>
          <w:tab w:val="left" w:pos="720"/>
        </w:tabs>
        <w:ind w:left="720" w:hanging="360"/>
        <w:jc w:val="both"/>
        <w:rPr>
          <w:rFonts w:ascii="Symbol" w:eastAsia="Symbol" w:hAnsi="Symbol" w:cs="Symbol"/>
          <w:sz w:val="20"/>
          <w:szCs w:val="20"/>
        </w:rPr>
      </w:pPr>
      <w:r>
        <w:rPr>
          <w:rFonts w:ascii="Arial" w:eastAsia="Arial" w:hAnsi="Arial" w:cs="Arial"/>
          <w:sz w:val="20"/>
          <w:szCs w:val="20"/>
          <w:u w:val="single"/>
        </w:rPr>
        <w:t>Set of articles</w:t>
      </w:r>
    </w:p>
    <w:p w14:paraId="065B50B6" w14:textId="77777777" w:rsidR="007525F7" w:rsidRDefault="007525F7" w:rsidP="00882AE7">
      <w:pPr>
        <w:spacing w:line="239" w:lineRule="exact"/>
        <w:jc w:val="both"/>
        <w:rPr>
          <w:sz w:val="20"/>
          <w:szCs w:val="20"/>
        </w:rPr>
      </w:pPr>
    </w:p>
    <w:p w14:paraId="78340B2A" w14:textId="77777777" w:rsidR="007525F7" w:rsidRDefault="00090375" w:rsidP="00882AE7">
      <w:pPr>
        <w:spacing w:line="274" w:lineRule="auto"/>
        <w:ind w:right="26"/>
        <w:jc w:val="both"/>
        <w:rPr>
          <w:sz w:val="20"/>
          <w:szCs w:val="20"/>
        </w:rPr>
      </w:pPr>
      <w:r>
        <w:rPr>
          <w:rFonts w:ascii="Arial" w:eastAsia="Arial" w:hAnsi="Arial" w:cs="Arial"/>
        </w:rPr>
        <w:t xml:space="preserve">In case of set of articles the term “set” must be stated (JPO, KIPO, USPTO, EUIPO) while following the practice of </w:t>
      </w:r>
      <w:r w:rsidR="00105AFD">
        <w:rPr>
          <w:rFonts w:ascii="Arial" w:eastAsia="Arial" w:hAnsi="Arial" w:cs="Arial"/>
        </w:rPr>
        <w:t xml:space="preserve">CNIPA </w:t>
      </w:r>
      <w:r>
        <w:rPr>
          <w:rFonts w:ascii="Arial" w:eastAsia="Arial" w:hAnsi="Arial" w:cs="Arial"/>
        </w:rPr>
        <w:t xml:space="preserve">the indication of product without the term set is also acceptable. The USPTO requires additionally a descriptive statement making it clear that the claim is directed to the collective appearance of the articles shown. Where a design represents a set of products, and these products are indicated in the application the JPO, KIPO and USPTO will send a request for correction, </w:t>
      </w:r>
      <w:r w:rsidR="00105AFD">
        <w:rPr>
          <w:rFonts w:ascii="Arial" w:eastAsia="Arial" w:hAnsi="Arial" w:cs="Arial"/>
        </w:rPr>
        <w:t xml:space="preserve">CNIPA </w:t>
      </w:r>
      <w:r>
        <w:rPr>
          <w:rFonts w:ascii="Arial" w:eastAsia="Arial" w:hAnsi="Arial" w:cs="Arial"/>
        </w:rPr>
        <w:t>will accept the indication as such, while EUIPO will replace ex officio that indication by ‘Product(s) X (Set of -)’.</w:t>
      </w:r>
    </w:p>
    <w:p w14:paraId="7F9D3B2C" w14:textId="77777777" w:rsidR="007525F7" w:rsidRDefault="007525F7" w:rsidP="00882AE7">
      <w:pPr>
        <w:spacing w:line="209" w:lineRule="exact"/>
        <w:jc w:val="both"/>
        <w:rPr>
          <w:sz w:val="20"/>
          <w:szCs w:val="20"/>
        </w:rPr>
      </w:pPr>
    </w:p>
    <w:p w14:paraId="4DF3FCFF" w14:textId="77777777" w:rsidR="007525F7" w:rsidRDefault="00090375" w:rsidP="00882AE7">
      <w:pPr>
        <w:numPr>
          <w:ilvl w:val="0"/>
          <w:numId w:val="4"/>
        </w:numPr>
        <w:tabs>
          <w:tab w:val="left" w:pos="720"/>
        </w:tabs>
        <w:ind w:left="720" w:hanging="360"/>
        <w:jc w:val="both"/>
        <w:rPr>
          <w:rFonts w:ascii="Symbol" w:eastAsia="Symbol" w:hAnsi="Symbol" w:cs="Symbol"/>
          <w:sz w:val="20"/>
          <w:szCs w:val="20"/>
        </w:rPr>
      </w:pPr>
      <w:r>
        <w:rPr>
          <w:rFonts w:ascii="Arial" w:eastAsia="Arial" w:hAnsi="Arial" w:cs="Arial"/>
          <w:sz w:val="20"/>
          <w:szCs w:val="20"/>
          <w:u w:val="single"/>
        </w:rPr>
        <w:t>Parts of products</w:t>
      </w:r>
    </w:p>
    <w:p w14:paraId="243D9FC6" w14:textId="77777777" w:rsidR="007525F7" w:rsidRDefault="007525F7" w:rsidP="00882AE7">
      <w:pPr>
        <w:spacing w:line="239" w:lineRule="exact"/>
        <w:jc w:val="both"/>
        <w:rPr>
          <w:sz w:val="20"/>
          <w:szCs w:val="20"/>
        </w:rPr>
      </w:pPr>
    </w:p>
    <w:p w14:paraId="6B27404D" w14:textId="77777777" w:rsidR="007525F7" w:rsidRDefault="00090375" w:rsidP="00882AE7">
      <w:pPr>
        <w:spacing w:line="275" w:lineRule="auto"/>
        <w:ind w:right="6"/>
        <w:jc w:val="both"/>
        <w:rPr>
          <w:sz w:val="20"/>
          <w:szCs w:val="20"/>
        </w:rPr>
      </w:pPr>
      <w:r>
        <w:rPr>
          <w:rFonts w:ascii="Arial" w:eastAsia="Arial" w:hAnsi="Arial" w:cs="Arial"/>
        </w:rPr>
        <w:t xml:space="preserve">In case of designs that form parts of other products all Offices except </w:t>
      </w:r>
      <w:r w:rsidR="00105AFD">
        <w:rPr>
          <w:rFonts w:ascii="Arial" w:eastAsia="Arial" w:hAnsi="Arial" w:cs="Arial"/>
        </w:rPr>
        <w:t xml:space="preserve">CNIPA </w:t>
      </w:r>
      <w:r>
        <w:rPr>
          <w:rFonts w:ascii="Arial" w:eastAsia="Arial" w:hAnsi="Arial" w:cs="Arial"/>
        </w:rPr>
        <w:t xml:space="preserve">and EUIPO require the design to be indicated with the name of the product as a whole. The title of the design identifies the article in which the design is embodied. </w:t>
      </w:r>
      <w:r w:rsidR="00105AFD">
        <w:rPr>
          <w:rFonts w:ascii="Arial" w:eastAsia="Arial" w:hAnsi="Arial" w:cs="Arial"/>
        </w:rPr>
        <w:t xml:space="preserve">CNIPA </w:t>
      </w:r>
      <w:r>
        <w:rPr>
          <w:rFonts w:ascii="Arial" w:eastAsia="Arial" w:hAnsi="Arial" w:cs="Arial"/>
        </w:rPr>
        <w:t>requires designs that form the part of other products to be indicated with their name and not as “parts of” the product. However, in China protection cannot be granted for parts of a product which cannot be separated from the main product, sold or used independently. EUIPO requires the suffix “part of” to be included in the product indication. Where a design represents the appearance of one part of a product, and that product as a whole is indicated in the application the examiner will replace that product indication by the indication ‘Product(s) X (Part of -)’, provided both the part in question and the product as a whole belong to the same class of the Locarno Classification.</w:t>
      </w:r>
    </w:p>
    <w:p w14:paraId="5BDAADDA" w14:textId="77777777" w:rsidR="007525F7" w:rsidRDefault="007525F7" w:rsidP="00882AE7">
      <w:pPr>
        <w:spacing w:line="206" w:lineRule="exact"/>
        <w:jc w:val="both"/>
        <w:rPr>
          <w:sz w:val="20"/>
          <w:szCs w:val="20"/>
        </w:rPr>
      </w:pPr>
    </w:p>
    <w:p w14:paraId="6F4C62FA" w14:textId="77777777" w:rsidR="007525F7" w:rsidRDefault="00090375" w:rsidP="00882AE7">
      <w:pPr>
        <w:numPr>
          <w:ilvl w:val="0"/>
          <w:numId w:val="5"/>
        </w:numPr>
        <w:tabs>
          <w:tab w:val="left" w:pos="720"/>
        </w:tabs>
        <w:ind w:left="720" w:hanging="360"/>
        <w:jc w:val="both"/>
        <w:rPr>
          <w:rFonts w:ascii="Symbol" w:eastAsia="Symbol" w:hAnsi="Symbol" w:cs="Symbol"/>
          <w:sz w:val="20"/>
          <w:szCs w:val="20"/>
        </w:rPr>
      </w:pPr>
      <w:r>
        <w:rPr>
          <w:rFonts w:ascii="Arial" w:eastAsia="Arial" w:hAnsi="Arial" w:cs="Arial"/>
          <w:sz w:val="20"/>
          <w:szCs w:val="20"/>
          <w:u w:val="single"/>
        </w:rPr>
        <w:t>Ornamentation (Locarno 32-00)</w:t>
      </w:r>
    </w:p>
    <w:p w14:paraId="607E0867" w14:textId="77777777" w:rsidR="007525F7" w:rsidRDefault="007525F7" w:rsidP="00882AE7">
      <w:pPr>
        <w:spacing w:line="239" w:lineRule="exact"/>
        <w:jc w:val="both"/>
        <w:rPr>
          <w:sz w:val="20"/>
          <w:szCs w:val="20"/>
        </w:rPr>
      </w:pPr>
    </w:p>
    <w:p w14:paraId="5E1553B9" w14:textId="77777777" w:rsidR="007525F7" w:rsidRDefault="00090375" w:rsidP="00882AE7">
      <w:pPr>
        <w:spacing w:line="289" w:lineRule="auto"/>
        <w:ind w:right="6"/>
        <w:jc w:val="both"/>
        <w:rPr>
          <w:sz w:val="20"/>
          <w:szCs w:val="20"/>
        </w:rPr>
      </w:pPr>
      <w:r>
        <w:rPr>
          <w:rFonts w:ascii="Arial" w:eastAsia="Arial" w:hAnsi="Arial" w:cs="Arial"/>
          <w:sz w:val="21"/>
          <w:szCs w:val="21"/>
        </w:rPr>
        <w:t>As regards designs for ornamentation they are not per se subject matter for design protection in Japan, China and the US. In these countries surface treatments should be indicated with the name of the article which they will be applied to and be disclosed together with said article. In Korea an application for ornamentation can be filed as partial design of the product to which it is applied and should be indicated with the name of the product as a whole. The European Design Regulation grants protection to designs for ornamentation, logos, graphic symbols or surface patterns (Locarno class 32-00) separately from the articles</w:t>
      </w:r>
    </w:p>
    <w:p w14:paraId="7339C728" w14:textId="77777777" w:rsidR="007525F7" w:rsidRDefault="007525F7" w:rsidP="00882AE7">
      <w:pPr>
        <w:jc w:val="both"/>
        <w:sectPr w:rsidR="007525F7">
          <w:pgSz w:w="11900" w:h="16838"/>
          <w:pgMar w:top="1440" w:right="1440" w:bottom="981" w:left="1440" w:header="0" w:footer="0" w:gutter="0"/>
          <w:cols w:space="720" w:equalWidth="0">
            <w:col w:w="9026"/>
          </w:cols>
        </w:sectPr>
      </w:pPr>
    </w:p>
    <w:p w14:paraId="0A9A3967" w14:textId="77777777" w:rsidR="007525F7" w:rsidRDefault="00090375" w:rsidP="00882AE7">
      <w:pPr>
        <w:spacing w:line="3" w:lineRule="exact"/>
        <w:jc w:val="both"/>
        <w:rPr>
          <w:sz w:val="20"/>
          <w:szCs w:val="20"/>
        </w:rPr>
      </w:pPr>
      <w:bookmarkStart w:id="4" w:name="page4"/>
      <w:bookmarkEnd w:id="4"/>
      <w:r>
        <w:rPr>
          <w:noProof/>
          <w:sz w:val="20"/>
          <w:szCs w:val="20"/>
          <w:lang w:val="en-IE" w:eastAsia="en-IE"/>
        </w:rPr>
        <w:drawing>
          <wp:anchor distT="0" distB="0" distL="114300" distR="114300" simplePos="0" relativeHeight="251658240" behindDoc="1" locked="0" layoutInCell="0" allowOverlap="1" wp14:anchorId="2A297AA2" wp14:editId="14525F4A">
            <wp:simplePos x="0" y="0"/>
            <wp:positionH relativeFrom="page">
              <wp:posOffset>316230</wp:posOffset>
            </wp:positionH>
            <wp:positionV relativeFrom="page">
              <wp:posOffset>450215</wp:posOffset>
            </wp:positionV>
            <wp:extent cx="120777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207770" cy="457200"/>
                    </a:xfrm>
                    <a:prstGeom prst="rect">
                      <a:avLst/>
                    </a:prstGeom>
                    <a:noFill/>
                  </pic:spPr>
                </pic:pic>
              </a:graphicData>
            </a:graphic>
          </wp:anchor>
        </w:drawing>
      </w:r>
    </w:p>
    <w:p w14:paraId="5998DF3C" w14:textId="77777777" w:rsidR="007525F7" w:rsidRDefault="00090375" w:rsidP="00882AE7">
      <w:pPr>
        <w:spacing w:line="274" w:lineRule="auto"/>
        <w:ind w:right="6"/>
        <w:jc w:val="both"/>
        <w:rPr>
          <w:sz w:val="20"/>
          <w:szCs w:val="20"/>
        </w:rPr>
      </w:pPr>
      <w:r>
        <w:rPr>
          <w:rFonts w:ascii="Arial" w:eastAsia="Arial" w:hAnsi="Arial" w:cs="Arial"/>
        </w:rPr>
        <w:t xml:space="preserve">which they are applied to. Where the design represents ornamentation for a given product, and only that product as a whole is indicated in the application, the examiner will replace that product indication by the indication ‘Product(s) X (Ornamentation for -)’. The product will thus be classified under Class 32-00 of the Locarno Classification. The same practice is applied to </w:t>
      </w:r>
      <w:r>
        <w:rPr>
          <w:rFonts w:ascii="Arial" w:eastAsia="Arial" w:hAnsi="Arial" w:cs="Arial"/>
          <w:i/>
          <w:iCs/>
        </w:rPr>
        <w:t>graphic symbols, logos</w:t>
      </w:r>
      <w:r>
        <w:rPr>
          <w:rFonts w:ascii="Arial" w:eastAsia="Arial" w:hAnsi="Arial" w:cs="Arial"/>
        </w:rPr>
        <w:t xml:space="preserve"> and </w:t>
      </w:r>
      <w:r>
        <w:rPr>
          <w:rFonts w:ascii="Arial" w:eastAsia="Arial" w:hAnsi="Arial" w:cs="Arial"/>
          <w:i/>
          <w:iCs/>
        </w:rPr>
        <w:t>surface patterns</w:t>
      </w:r>
      <w:r>
        <w:rPr>
          <w:rFonts w:ascii="Arial" w:eastAsia="Arial" w:hAnsi="Arial" w:cs="Arial"/>
        </w:rPr>
        <w:t>.</w:t>
      </w:r>
    </w:p>
    <w:p w14:paraId="58B8F130" w14:textId="77777777" w:rsidR="007525F7" w:rsidRDefault="007525F7" w:rsidP="00882AE7">
      <w:pPr>
        <w:spacing w:line="210" w:lineRule="exact"/>
        <w:jc w:val="both"/>
        <w:rPr>
          <w:sz w:val="20"/>
          <w:szCs w:val="20"/>
        </w:rPr>
      </w:pPr>
    </w:p>
    <w:p w14:paraId="4A09A9F6" w14:textId="77777777" w:rsidR="007525F7" w:rsidRDefault="00090375">
      <w:pPr>
        <w:spacing w:line="272" w:lineRule="auto"/>
        <w:ind w:right="126"/>
        <w:jc w:val="both"/>
        <w:rPr>
          <w:sz w:val="20"/>
          <w:szCs w:val="20"/>
        </w:rPr>
      </w:pPr>
      <w:r>
        <w:rPr>
          <w:rFonts w:ascii="Arial" w:eastAsia="Arial" w:hAnsi="Arial" w:cs="Arial"/>
        </w:rPr>
        <w:t xml:space="preserve">“Get ups” (also in Locarno class 32-00) are granted protection only in EUIPO which accepts designs with this product indication for the arrangements of the interior of a space. </w:t>
      </w:r>
      <w:r w:rsidR="00D22B48" w:rsidRPr="00D22B48">
        <w:rPr>
          <w:rFonts w:ascii="Arial" w:eastAsia="Arial" w:hAnsi="Arial" w:cs="Arial"/>
        </w:rPr>
        <w:t xml:space="preserve">While the terminology “get up” is not utilized, depending on the circumstances, interior space may be protected in the United States. </w:t>
      </w:r>
      <w:r>
        <w:rPr>
          <w:rFonts w:ascii="Arial" w:eastAsia="Arial" w:hAnsi="Arial" w:cs="Arial"/>
        </w:rPr>
        <w:t>Get ups are not granted protection in any other of the Partner Offices.</w:t>
      </w:r>
    </w:p>
    <w:p w14:paraId="6FCA0EF1" w14:textId="77777777" w:rsidR="007525F7" w:rsidRDefault="007525F7" w:rsidP="00882AE7">
      <w:pPr>
        <w:spacing w:line="206" w:lineRule="exact"/>
        <w:jc w:val="both"/>
        <w:rPr>
          <w:sz w:val="20"/>
          <w:szCs w:val="20"/>
        </w:rPr>
      </w:pPr>
    </w:p>
    <w:p w14:paraId="35AC25D1" w14:textId="77777777" w:rsidR="007525F7" w:rsidRDefault="00090375" w:rsidP="00882AE7">
      <w:pPr>
        <w:numPr>
          <w:ilvl w:val="0"/>
          <w:numId w:val="6"/>
        </w:numPr>
        <w:tabs>
          <w:tab w:val="left" w:pos="720"/>
        </w:tabs>
        <w:ind w:left="720" w:hanging="360"/>
        <w:jc w:val="both"/>
        <w:rPr>
          <w:rFonts w:ascii="Symbol" w:eastAsia="Symbol" w:hAnsi="Symbol" w:cs="Symbol"/>
          <w:sz w:val="20"/>
          <w:szCs w:val="20"/>
        </w:rPr>
      </w:pPr>
      <w:r>
        <w:rPr>
          <w:rFonts w:ascii="Arial" w:eastAsia="Arial" w:hAnsi="Arial" w:cs="Arial"/>
          <w:sz w:val="20"/>
          <w:szCs w:val="20"/>
          <w:u w:val="single"/>
        </w:rPr>
        <w:t>Screen displays, icons, GUI (Locarno 14-04)</w:t>
      </w:r>
    </w:p>
    <w:p w14:paraId="28339CEB" w14:textId="77777777" w:rsidR="007525F7" w:rsidRDefault="007525F7" w:rsidP="00882AE7">
      <w:pPr>
        <w:spacing w:line="241" w:lineRule="exact"/>
        <w:jc w:val="both"/>
        <w:rPr>
          <w:sz w:val="20"/>
          <w:szCs w:val="20"/>
        </w:rPr>
      </w:pPr>
    </w:p>
    <w:p w14:paraId="5F179C9D" w14:textId="77777777" w:rsidR="007525F7" w:rsidRDefault="00090375" w:rsidP="00882AE7">
      <w:pPr>
        <w:spacing w:line="274" w:lineRule="auto"/>
        <w:ind w:right="146"/>
        <w:jc w:val="both"/>
        <w:rPr>
          <w:sz w:val="20"/>
          <w:szCs w:val="20"/>
        </w:rPr>
      </w:pPr>
      <w:r>
        <w:rPr>
          <w:rFonts w:ascii="Arial" w:eastAsia="Arial" w:hAnsi="Arial" w:cs="Arial"/>
        </w:rPr>
        <w:t>Screen displays, icons and graphical user interfaces cannot be protected individually in Japan, Korea and China and should always be indicated with the name of the electronic device where they appear</w:t>
      </w:r>
      <w:r w:rsidR="005D77D6">
        <w:rPr>
          <w:rFonts w:ascii="Arial" w:eastAsia="Arial" w:hAnsi="Arial" w:cs="Arial"/>
        </w:rPr>
        <w:t xml:space="preserve"> </w:t>
      </w:r>
      <w:r w:rsidR="005D77D6" w:rsidRPr="005D77D6">
        <w:rPr>
          <w:rFonts w:ascii="Arial" w:eastAsia="Arial" w:hAnsi="Arial" w:cs="Arial"/>
        </w:rPr>
        <w:t>or in which they are incorporated</w:t>
      </w:r>
      <w:r>
        <w:rPr>
          <w:rFonts w:ascii="Arial" w:eastAsia="Arial" w:hAnsi="Arial" w:cs="Arial"/>
        </w:rPr>
        <w:t>. The USPTO considers designs for computer-generated icons embodied in articles of manufacture to be statutory subject matter eligible for design patent protection. EUIPO also grants protection to such designs. These product indications can be used individually without the name of the article they are embodied in.</w:t>
      </w:r>
    </w:p>
    <w:p w14:paraId="27E02A8C" w14:textId="77777777" w:rsidR="007525F7" w:rsidRDefault="007525F7" w:rsidP="00882AE7">
      <w:pPr>
        <w:spacing w:line="205" w:lineRule="exact"/>
        <w:jc w:val="both"/>
        <w:rPr>
          <w:sz w:val="20"/>
          <w:szCs w:val="20"/>
        </w:rPr>
      </w:pPr>
    </w:p>
    <w:p w14:paraId="5DCD0BD5" w14:textId="77777777" w:rsidR="007525F7" w:rsidRDefault="00090375" w:rsidP="00882AE7">
      <w:pPr>
        <w:numPr>
          <w:ilvl w:val="0"/>
          <w:numId w:val="7"/>
        </w:numPr>
        <w:tabs>
          <w:tab w:val="left" w:pos="720"/>
        </w:tabs>
        <w:ind w:left="720" w:hanging="360"/>
        <w:jc w:val="both"/>
        <w:rPr>
          <w:rFonts w:ascii="Symbol" w:eastAsia="Symbol" w:hAnsi="Symbol" w:cs="Symbol"/>
          <w:sz w:val="20"/>
          <w:szCs w:val="20"/>
        </w:rPr>
      </w:pPr>
      <w:r>
        <w:rPr>
          <w:rFonts w:ascii="Arial" w:eastAsia="Arial" w:hAnsi="Arial" w:cs="Arial"/>
          <w:sz w:val="20"/>
          <w:szCs w:val="20"/>
          <w:u w:val="single"/>
        </w:rPr>
        <w:t>Multifunctional products</w:t>
      </w:r>
    </w:p>
    <w:p w14:paraId="1E4BD574" w14:textId="77777777" w:rsidR="007525F7" w:rsidRDefault="007525F7" w:rsidP="00882AE7">
      <w:pPr>
        <w:spacing w:line="239" w:lineRule="exact"/>
        <w:jc w:val="both"/>
        <w:rPr>
          <w:sz w:val="20"/>
          <w:szCs w:val="20"/>
        </w:rPr>
      </w:pPr>
    </w:p>
    <w:p w14:paraId="5E488C45" w14:textId="77777777" w:rsidR="007525F7" w:rsidRDefault="00090375" w:rsidP="00882AE7">
      <w:pPr>
        <w:spacing w:line="274" w:lineRule="auto"/>
        <w:ind w:right="186"/>
        <w:jc w:val="both"/>
        <w:rPr>
          <w:sz w:val="20"/>
          <w:szCs w:val="20"/>
        </w:rPr>
      </w:pPr>
      <w:r>
        <w:rPr>
          <w:rFonts w:ascii="Arial" w:eastAsia="Arial" w:hAnsi="Arial" w:cs="Arial"/>
        </w:rPr>
        <w:t xml:space="preserve">Multifunctional products should be indicated with several terms that correspond to all its functions (EUIPO) or one single term that combines all functions (JPO). On the other hand, according to the practices of KIPO and </w:t>
      </w:r>
      <w:r w:rsidR="00105AFD">
        <w:rPr>
          <w:rFonts w:ascii="Arial" w:eastAsia="Arial" w:hAnsi="Arial" w:cs="Arial"/>
        </w:rPr>
        <w:t xml:space="preserve">CNIPA </w:t>
      </w:r>
      <w:r>
        <w:rPr>
          <w:rFonts w:ascii="Arial" w:eastAsia="Arial" w:hAnsi="Arial" w:cs="Arial"/>
        </w:rPr>
        <w:t>the product indication for a multipurpose product should be based on the main function of the product. In USPTO when a design is embodied in an article having multiple functions or comprises multiple independent parts or articles that interact with each other, the title must clearly define them as a single entity, for example, combined or combination, set, pair, unit assembly.</w:t>
      </w:r>
    </w:p>
    <w:p w14:paraId="203A17B3" w14:textId="77777777" w:rsidR="007525F7" w:rsidRDefault="007525F7" w:rsidP="00882AE7">
      <w:pPr>
        <w:spacing w:line="216" w:lineRule="exact"/>
        <w:jc w:val="both"/>
        <w:rPr>
          <w:sz w:val="20"/>
          <w:szCs w:val="20"/>
        </w:rPr>
      </w:pPr>
    </w:p>
    <w:p w14:paraId="6FABDF54" w14:textId="77777777" w:rsidR="007525F7" w:rsidRDefault="00090375" w:rsidP="00882AE7">
      <w:pPr>
        <w:spacing w:line="274" w:lineRule="auto"/>
        <w:ind w:right="126"/>
        <w:jc w:val="both"/>
        <w:rPr>
          <w:sz w:val="20"/>
          <w:szCs w:val="20"/>
        </w:rPr>
      </w:pPr>
      <w:r>
        <w:rPr>
          <w:rFonts w:ascii="Arial" w:eastAsia="Arial" w:hAnsi="Arial" w:cs="Arial"/>
        </w:rPr>
        <w:t xml:space="preserve">JPO, KIPO and </w:t>
      </w:r>
      <w:r w:rsidR="00105AFD">
        <w:rPr>
          <w:rFonts w:ascii="Arial" w:eastAsia="Arial" w:hAnsi="Arial" w:cs="Arial"/>
        </w:rPr>
        <w:t xml:space="preserve">CNIPA </w:t>
      </w:r>
      <w:r>
        <w:rPr>
          <w:rFonts w:ascii="Arial" w:eastAsia="Arial" w:hAnsi="Arial" w:cs="Arial"/>
        </w:rPr>
        <w:t>apply the principle of a single application for a single design thus only one product indication per design is permitted. USPTO allows substantial latitude in the descriptive language of the title/claim. EUIPO allows more than one product indication for the same design independently whether these indications belong to the same or different Locarno classes/subclasses.</w:t>
      </w:r>
    </w:p>
    <w:p w14:paraId="2FA38749" w14:textId="77777777" w:rsidR="007525F7" w:rsidRDefault="007525F7">
      <w:pPr>
        <w:spacing w:line="200" w:lineRule="exact"/>
        <w:rPr>
          <w:sz w:val="20"/>
          <w:szCs w:val="20"/>
        </w:rPr>
      </w:pPr>
    </w:p>
    <w:p w14:paraId="2F89D968" w14:textId="77777777" w:rsidR="007525F7" w:rsidRDefault="007525F7">
      <w:pPr>
        <w:spacing w:line="200" w:lineRule="exact"/>
        <w:rPr>
          <w:sz w:val="20"/>
          <w:szCs w:val="20"/>
        </w:rPr>
      </w:pPr>
    </w:p>
    <w:p w14:paraId="5666351C" w14:textId="77777777" w:rsidR="007525F7" w:rsidRDefault="007525F7">
      <w:pPr>
        <w:spacing w:line="296" w:lineRule="exact"/>
        <w:rPr>
          <w:sz w:val="20"/>
          <w:szCs w:val="20"/>
        </w:rPr>
      </w:pPr>
    </w:p>
    <w:p w14:paraId="2A105435" w14:textId="77777777" w:rsidR="007525F7" w:rsidRDefault="00090375">
      <w:pPr>
        <w:rPr>
          <w:sz w:val="20"/>
          <w:szCs w:val="20"/>
        </w:rPr>
      </w:pPr>
      <w:r>
        <w:rPr>
          <w:rFonts w:ascii="Arial" w:eastAsia="Arial" w:hAnsi="Arial" w:cs="Arial"/>
          <w:b/>
          <w:bCs/>
          <w:i/>
          <w:iCs/>
          <w:sz w:val="20"/>
          <w:szCs w:val="20"/>
        </w:rPr>
        <w:t>Acceptability criteria for product indications/titles</w:t>
      </w:r>
    </w:p>
    <w:p w14:paraId="4F7B3159" w14:textId="77777777" w:rsidR="007525F7" w:rsidRDefault="007525F7">
      <w:pPr>
        <w:spacing w:line="241" w:lineRule="exact"/>
        <w:rPr>
          <w:sz w:val="20"/>
          <w:szCs w:val="20"/>
        </w:rPr>
      </w:pPr>
    </w:p>
    <w:p w14:paraId="4420F0BC" w14:textId="77777777" w:rsidR="007525F7" w:rsidRDefault="00090375">
      <w:pPr>
        <w:spacing w:line="267" w:lineRule="auto"/>
        <w:ind w:right="46"/>
        <w:rPr>
          <w:sz w:val="20"/>
          <w:szCs w:val="20"/>
        </w:rPr>
      </w:pPr>
      <w:r>
        <w:rPr>
          <w:rFonts w:ascii="Arial" w:eastAsia="Arial" w:hAnsi="Arial" w:cs="Arial"/>
        </w:rPr>
        <w:t>The acceptability criteria applied by the Offices as regards the terms/titles used for indicating the product in which the design will be embodied also vary.</w:t>
      </w:r>
    </w:p>
    <w:p w14:paraId="3EC02820" w14:textId="77777777" w:rsidR="007525F7" w:rsidRDefault="007525F7">
      <w:pPr>
        <w:spacing w:line="220" w:lineRule="exact"/>
        <w:rPr>
          <w:sz w:val="20"/>
          <w:szCs w:val="20"/>
        </w:rPr>
      </w:pPr>
    </w:p>
    <w:p w14:paraId="6CD02691" w14:textId="77777777" w:rsidR="007525F7" w:rsidRDefault="00090375">
      <w:pPr>
        <w:spacing w:line="271" w:lineRule="auto"/>
        <w:ind w:right="166"/>
        <w:rPr>
          <w:sz w:val="20"/>
          <w:szCs w:val="20"/>
        </w:rPr>
      </w:pPr>
      <w:r>
        <w:rPr>
          <w:rFonts w:ascii="Arial" w:eastAsia="Arial" w:hAnsi="Arial" w:cs="Arial"/>
        </w:rPr>
        <w:t>USPTO applies a flexible practice. The applicant has substantial latitude in the descriptive language of the title/claim. The examiner should only require amendment of the title/claim if the language is clearly misdescriptive, inaccurate, or unclear.</w:t>
      </w:r>
    </w:p>
    <w:p w14:paraId="08648BCE" w14:textId="77777777" w:rsidR="007525F7" w:rsidRDefault="007525F7">
      <w:pPr>
        <w:spacing w:line="207" w:lineRule="exact"/>
        <w:rPr>
          <w:sz w:val="20"/>
          <w:szCs w:val="20"/>
        </w:rPr>
      </w:pPr>
    </w:p>
    <w:p w14:paraId="14540C85" w14:textId="77777777" w:rsidR="007525F7" w:rsidRDefault="00090375">
      <w:pPr>
        <w:rPr>
          <w:sz w:val="20"/>
          <w:szCs w:val="20"/>
        </w:rPr>
      </w:pPr>
      <w:r>
        <w:rPr>
          <w:rFonts w:ascii="Arial" w:eastAsia="Arial" w:hAnsi="Arial" w:cs="Arial"/>
        </w:rPr>
        <w:t>In the rest Offices´ practices, in general, the following are refused:</w:t>
      </w:r>
    </w:p>
    <w:p w14:paraId="77710402" w14:textId="77777777" w:rsidR="007525F7" w:rsidRDefault="007525F7">
      <w:pPr>
        <w:spacing w:line="234" w:lineRule="exact"/>
        <w:rPr>
          <w:sz w:val="20"/>
          <w:szCs w:val="20"/>
        </w:rPr>
      </w:pPr>
    </w:p>
    <w:p w14:paraId="45B3BBAF" w14:textId="77777777" w:rsidR="007525F7" w:rsidRDefault="00090375">
      <w:pPr>
        <w:numPr>
          <w:ilvl w:val="0"/>
          <w:numId w:val="8"/>
        </w:numPr>
        <w:tabs>
          <w:tab w:val="left" w:pos="720"/>
        </w:tabs>
        <w:ind w:left="720" w:hanging="360"/>
        <w:rPr>
          <w:rFonts w:ascii="Symbol" w:eastAsia="Symbol" w:hAnsi="Symbol" w:cs="Symbol"/>
        </w:rPr>
      </w:pPr>
      <w:r>
        <w:rPr>
          <w:rFonts w:ascii="Arial" w:eastAsia="Arial" w:hAnsi="Arial" w:cs="Arial"/>
        </w:rPr>
        <w:t>terms containing a trademark</w:t>
      </w:r>
    </w:p>
    <w:p w14:paraId="1B340543" w14:textId="77777777" w:rsidR="007525F7" w:rsidRDefault="007525F7">
      <w:pPr>
        <w:spacing w:line="35" w:lineRule="exact"/>
        <w:rPr>
          <w:rFonts w:ascii="Symbol" w:eastAsia="Symbol" w:hAnsi="Symbol" w:cs="Symbol"/>
        </w:rPr>
      </w:pPr>
    </w:p>
    <w:p w14:paraId="17633B00" w14:textId="77777777" w:rsidR="00B13B00" w:rsidRDefault="00090375" w:rsidP="00882AE7">
      <w:pPr>
        <w:numPr>
          <w:ilvl w:val="0"/>
          <w:numId w:val="8"/>
        </w:numPr>
        <w:tabs>
          <w:tab w:val="left" w:pos="720"/>
        </w:tabs>
        <w:ind w:left="720" w:hanging="360"/>
        <w:rPr>
          <w:rFonts w:ascii="Symbol" w:eastAsia="Symbol" w:hAnsi="Symbol" w:cs="Symbol"/>
        </w:rPr>
      </w:pPr>
      <w:r>
        <w:rPr>
          <w:rFonts w:ascii="Arial" w:eastAsia="Arial" w:hAnsi="Arial" w:cs="Arial"/>
        </w:rPr>
        <w:t>generic/abstract terms not clearly indicating the use of the product</w:t>
      </w:r>
    </w:p>
    <w:p w14:paraId="749001F5" w14:textId="77777777" w:rsidR="00B13B00" w:rsidRDefault="00B13B00" w:rsidP="00882AE7">
      <w:pPr>
        <w:tabs>
          <w:tab w:val="left" w:pos="720"/>
        </w:tabs>
        <w:spacing w:line="17" w:lineRule="exact"/>
        <w:rPr>
          <w:rFonts w:ascii="Symbol" w:eastAsia="Symbol" w:hAnsi="Symbol" w:cs="Symbol"/>
        </w:rPr>
      </w:pPr>
    </w:p>
    <w:p w14:paraId="72C5FF5F" w14:textId="54DB1A62" w:rsidR="007525F7" w:rsidRPr="00B13B00" w:rsidRDefault="00090375" w:rsidP="00B13B00">
      <w:pPr>
        <w:numPr>
          <w:ilvl w:val="0"/>
          <w:numId w:val="8"/>
        </w:numPr>
        <w:tabs>
          <w:tab w:val="left" w:pos="720"/>
        </w:tabs>
        <w:ind w:left="720" w:hanging="360"/>
        <w:rPr>
          <w:rFonts w:ascii="Symbol" w:eastAsia="Symbol" w:hAnsi="Symbol" w:cs="Symbol"/>
        </w:rPr>
      </w:pPr>
      <w:r w:rsidRPr="00B13B00">
        <w:rPr>
          <w:rFonts w:ascii="Arial" w:eastAsia="Arial" w:hAnsi="Arial" w:cs="Arial"/>
        </w:rPr>
        <w:t>terms describing structure, technical effect, shape colour, material or pattern</w:t>
      </w:r>
      <w:bookmarkStart w:id="5" w:name="page5"/>
      <w:bookmarkEnd w:id="5"/>
      <w:r>
        <w:rPr>
          <w:noProof/>
          <w:sz w:val="20"/>
          <w:szCs w:val="20"/>
          <w:lang w:val="en-IE" w:eastAsia="en-IE"/>
        </w:rPr>
        <w:drawing>
          <wp:anchor distT="0" distB="0" distL="114300" distR="114300" simplePos="0" relativeHeight="251659264" behindDoc="1" locked="0" layoutInCell="0" allowOverlap="1" wp14:anchorId="138ECF37" wp14:editId="21C0DB67">
            <wp:simplePos x="0" y="0"/>
            <wp:positionH relativeFrom="page">
              <wp:posOffset>316230</wp:posOffset>
            </wp:positionH>
            <wp:positionV relativeFrom="page">
              <wp:posOffset>450215</wp:posOffset>
            </wp:positionV>
            <wp:extent cx="120777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1207770" cy="457200"/>
                    </a:xfrm>
                    <a:prstGeom prst="rect">
                      <a:avLst/>
                    </a:prstGeom>
                    <a:noFill/>
                  </pic:spPr>
                </pic:pic>
              </a:graphicData>
            </a:graphic>
          </wp:anchor>
        </w:drawing>
      </w:r>
    </w:p>
    <w:p w14:paraId="30E2E543" w14:textId="77777777" w:rsidR="007525F7" w:rsidRDefault="00090375" w:rsidP="00882AE7">
      <w:pPr>
        <w:numPr>
          <w:ilvl w:val="0"/>
          <w:numId w:val="9"/>
        </w:numPr>
        <w:tabs>
          <w:tab w:val="left" w:pos="720"/>
        </w:tabs>
        <w:ind w:left="720" w:right="46" w:hanging="360"/>
        <w:rPr>
          <w:rFonts w:ascii="Symbol" w:eastAsia="Symbol" w:hAnsi="Symbol" w:cs="Symbol"/>
        </w:rPr>
      </w:pPr>
      <w:r>
        <w:rPr>
          <w:rFonts w:ascii="Arial" w:eastAsia="Arial" w:hAnsi="Arial" w:cs="Arial"/>
        </w:rPr>
        <w:t>terms containing name of model, codes, specification, size, scale or numerical unit of the product</w:t>
      </w:r>
    </w:p>
    <w:p w14:paraId="0B81F7A9" w14:textId="77777777" w:rsidR="007525F7" w:rsidRDefault="007525F7" w:rsidP="00882AE7">
      <w:pPr>
        <w:spacing w:line="17" w:lineRule="exact"/>
        <w:rPr>
          <w:rFonts w:ascii="Symbol" w:eastAsia="Symbol" w:hAnsi="Symbol" w:cs="Symbol"/>
        </w:rPr>
      </w:pPr>
    </w:p>
    <w:p w14:paraId="1406CA57" w14:textId="77777777" w:rsidR="007525F7" w:rsidRDefault="00090375" w:rsidP="00B13B00">
      <w:pPr>
        <w:numPr>
          <w:ilvl w:val="0"/>
          <w:numId w:val="9"/>
        </w:numPr>
        <w:tabs>
          <w:tab w:val="left" w:pos="720"/>
        </w:tabs>
        <w:ind w:left="720" w:hanging="360"/>
        <w:rPr>
          <w:rFonts w:ascii="Symbol" w:eastAsia="Symbol" w:hAnsi="Symbol" w:cs="Symbol"/>
        </w:rPr>
      </w:pPr>
      <w:r>
        <w:rPr>
          <w:rFonts w:ascii="Arial" w:eastAsia="Arial" w:hAnsi="Arial" w:cs="Arial"/>
        </w:rPr>
        <w:t>terms not in the working language(s) of the Office</w:t>
      </w:r>
    </w:p>
    <w:p w14:paraId="638D2B11" w14:textId="77777777" w:rsidR="007525F7" w:rsidRDefault="007525F7">
      <w:pPr>
        <w:spacing w:line="245" w:lineRule="exact"/>
        <w:rPr>
          <w:sz w:val="20"/>
          <w:szCs w:val="20"/>
        </w:rPr>
      </w:pPr>
    </w:p>
    <w:p w14:paraId="39BA259C" w14:textId="77777777" w:rsidR="007525F7" w:rsidRDefault="00090375">
      <w:pPr>
        <w:spacing w:line="269" w:lineRule="auto"/>
        <w:ind w:right="626"/>
        <w:rPr>
          <w:sz w:val="20"/>
          <w:szCs w:val="20"/>
        </w:rPr>
      </w:pPr>
      <w:r>
        <w:rPr>
          <w:rFonts w:ascii="Arial" w:eastAsia="Arial" w:hAnsi="Arial" w:cs="Arial"/>
        </w:rPr>
        <w:t>However, the Offices apply diverse exceptions concerning descriptive adjectives in the indications.</w:t>
      </w:r>
    </w:p>
    <w:p w14:paraId="3541A3DF" w14:textId="77777777" w:rsidR="007525F7" w:rsidRDefault="007525F7">
      <w:pPr>
        <w:spacing w:line="215" w:lineRule="exact"/>
        <w:rPr>
          <w:sz w:val="20"/>
          <w:szCs w:val="20"/>
        </w:rPr>
      </w:pPr>
    </w:p>
    <w:p w14:paraId="32385F74" w14:textId="77777777" w:rsidR="007525F7" w:rsidRDefault="00090375">
      <w:pPr>
        <w:spacing w:line="272" w:lineRule="auto"/>
        <w:ind w:right="186"/>
        <w:rPr>
          <w:sz w:val="20"/>
          <w:szCs w:val="20"/>
        </w:rPr>
      </w:pPr>
      <w:r>
        <w:rPr>
          <w:rFonts w:ascii="Arial" w:eastAsia="Arial" w:hAnsi="Arial" w:cs="Arial"/>
        </w:rPr>
        <w:t xml:space="preserve">As for the number of words indicating a product, </w:t>
      </w:r>
      <w:r w:rsidR="00105AFD">
        <w:rPr>
          <w:rFonts w:ascii="Arial" w:eastAsia="Arial" w:hAnsi="Arial" w:cs="Arial"/>
        </w:rPr>
        <w:t xml:space="preserve">CNIPA </w:t>
      </w:r>
      <w:r>
        <w:rPr>
          <w:rFonts w:ascii="Arial" w:eastAsia="Arial" w:hAnsi="Arial" w:cs="Arial"/>
        </w:rPr>
        <w:t>requires a max of 20 Chinese characters while EUIPO a max of 4 words (as per EU harmonised standards). In the rest of the Offices the number of words is irrelevant.</w:t>
      </w:r>
    </w:p>
    <w:p w14:paraId="37B2BCE2" w14:textId="77777777" w:rsidR="007525F7" w:rsidRDefault="007525F7">
      <w:pPr>
        <w:spacing w:line="213" w:lineRule="exact"/>
        <w:rPr>
          <w:sz w:val="20"/>
          <w:szCs w:val="20"/>
        </w:rPr>
      </w:pPr>
    </w:p>
    <w:p w14:paraId="5F04F87A" w14:textId="77777777" w:rsidR="007525F7" w:rsidRDefault="00090375">
      <w:pPr>
        <w:spacing w:line="272" w:lineRule="auto"/>
        <w:ind w:right="6"/>
        <w:rPr>
          <w:sz w:val="20"/>
          <w:szCs w:val="20"/>
        </w:rPr>
      </w:pPr>
      <w:r>
        <w:rPr>
          <w:rFonts w:ascii="Arial" w:eastAsia="Arial" w:hAnsi="Arial" w:cs="Arial"/>
        </w:rPr>
        <w:t xml:space="preserve">Regarding symbols and signs, square brackets (as per Locarno) are allowed in JPO and EUIPO practice, KIPO allows any brackets used to include explanatory details, while in </w:t>
      </w:r>
      <w:r w:rsidR="00105AFD">
        <w:rPr>
          <w:rFonts w:ascii="Arial" w:eastAsia="Arial" w:hAnsi="Arial" w:cs="Arial"/>
        </w:rPr>
        <w:t xml:space="preserve">CNIPA </w:t>
      </w:r>
      <w:r>
        <w:rPr>
          <w:rFonts w:ascii="Arial" w:eastAsia="Arial" w:hAnsi="Arial" w:cs="Arial"/>
        </w:rPr>
        <w:t>there are no rules to forbid the use of any punctuation signs.</w:t>
      </w:r>
    </w:p>
    <w:p w14:paraId="5CBD3A02" w14:textId="77777777" w:rsidR="007525F7" w:rsidRDefault="007525F7">
      <w:pPr>
        <w:spacing w:line="200" w:lineRule="exact"/>
        <w:rPr>
          <w:sz w:val="20"/>
          <w:szCs w:val="20"/>
        </w:rPr>
      </w:pPr>
    </w:p>
    <w:p w14:paraId="626748D3" w14:textId="77777777" w:rsidR="007525F7" w:rsidRDefault="007525F7">
      <w:pPr>
        <w:spacing w:line="200" w:lineRule="exact"/>
        <w:rPr>
          <w:sz w:val="20"/>
          <w:szCs w:val="20"/>
        </w:rPr>
      </w:pPr>
    </w:p>
    <w:p w14:paraId="2F61A849" w14:textId="77777777" w:rsidR="007525F7" w:rsidRDefault="007525F7">
      <w:pPr>
        <w:spacing w:line="299" w:lineRule="exact"/>
        <w:rPr>
          <w:sz w:val="20"/>
          <w:szCs w:val="20"/>
        </w:rPr>
      </w:pPr>
    </w:p>
    <w:p w14:paraId="5081C5FF" w14:textId="77777777" w:rsidR="007525F7" w:rsidRDefault="00090375">
      <w:pPr>
        <w:rPr>
          <w:sz w:val="20"/>
          <w:szCs w:val="20"/>
        </w:rPr>
      </w:pPr>
      <w:r>
        <w:rPr>
          <w:rFonts w:ascii="Arial" w:eastAsia="Arial" w:hAnsi="Arial" w:cs="Arial"/>
          <w:b/>
          <w:bCs/>
          <w:i/>
          <w:iCs/>
          <w:sz w:val="20"/>
          <w:szCs w:val="20"/>
        </w:rPr>
        <w:t>Scope of protection, invalidation of designs</w:t>
      </w:r>
    </w:p>
    <w:p w14:paraId="1D959A6F" w14:textId="77777777" w:rsidR="007525F7" w:rsidRDefault="007525F7">
      <w:pPr>
        <w:spacing w:line="239" w:lineRule="exact"/>
        <w:rPr>
          <w:sz w:val="20"/>
          <w:szCs w:val="20"/>
        </w:rPr>
      </w:pPr>
    </w:p>
    <w:p w14:paraId="0F526327" w14:textId="7ABDD1A9" w:rsidR="007525F7" w:rsidRDefault="00D22B48">
      <w:pPr>
        <w:spacing w:line="273" w:lineRule="auto"/>
        <w:ind w:right="106"/>
        <w:rPr>
          <w:sz w:val="20"/>
          <w:szCs w:val="20"/>
        </w:rPr>
      </w:pPr>
      <w:r>
        <w:rPr>
          <w:rFonts w:ascii="Arial" w:eastAsia="Arial" w:hAnsi="Arial" w:cs="Arial"/>
        </w:rPr>
        <w:t>I</w:t>
      </w:r>
      <w:r w:rsidR="00090375">
        <w:rPr>
          <w:rFonts w:ascii="Arial" w:eastAsia="Arial" w:hAnsi="Arial" w:cs="Arial"/>
        </w:rPr>
        <w:t>n Japan, according to the national Design Act, the product indication affects the scope of protection of the design. Consequently, the product is also important for the pre-registration examination (mandatory) and the post-registration examination (optional) which is conducted by JPO as trial for invalidation of design registrations.</w:t>
      </w:r>
      <w:r>
        <w:rPr>
          <w:rFonts w:ascii="Arial" w:eastAsia="Arial" w:hAnsi="Arial" w:cs="Arial"/>
        </w:rPr>
        <w:t xml:space="preserve">  </w:t>
      </w:r>
      <w:r w:rsidRPr="00D22B48">
        <w:rPr>
          <w:rFonts w:ascii="Arial" w:eastAsia="Arial" w:hAnsi="Arial" w:cs="Arial"/>
        </w:rPr>
        <w:t>In the United States, the title may also affect the scope of the rights.</w:t>
      </w:r>
    </w:p>
    <w:p w14:paraId="66B285F0" w14:textId="77777777" w:rsidR="007525F7" w:rsidRDefault="007525F7">
      <w:pPr>
        <w:spacing w:line="212" w:lineRule="exact"/>
        <w:rPr>
          <w:sz w:val="20"/>
          <w:szCs w:val="20"/>
        </w:rPr>
      </w:pPr>
    </w:p>
    <w:p w14:paraId="69C93FEC" w14:textId="77777777" w:rsidR="007525F7" w:rsidRDefault="00090375">
      <w:pPr>
        <w:spacing w:line="275" w:lineRule="auto"/>
        <w:ind w:right="166"/>
        <w:rPr>
          <w:sz w:val="20"/>
          <w:szCs w:val="20"/>
        </w:rPr>
      </w:pPr>
      <w:r>
        <w:rPr>
          <w:rFonts w:ascii="Arial" w:eastAsia="Arial" w:hAnsi="Arial" w:cs="Arial"/>
        </w:rPr>
        <w:t>In the rest Offices the product indication does not affe</w:t>
      </w:r>
      <w:bookmarkStart w:id="6" w:name="_GoBack"/>
      <w:bookmarkEnd w:id="6"/>
      <w:r>
        <w:rPr>
          <w:rFonts w:ascii="Arial" w:eastAsia="Arial" w:hAnsi="Arial" w:cs="Arial"/>
        </w:rPr>
        <w:t xml:space="preserve">ct the protection of the design. However, in the invalidation proceedings it serves as a reference that aids the examiner to determine the category of the product (KIPO, </w:t>
      </w:r>
      <w:r w:rsidR="00105AFD">
        <w:rPr>
          <w:rFonts w:ascii="Arial" w:eastAsia="Arial" w:hAnsi="Arial" w:cs="Arial"/>
        </w:rPr>
        <w:t>CNIPA</w:t>
      </w:r>
      <w:r>
        <w:rPr>
          <w:rFonts w:ascii="Arial" w:eastAsia="Arial" w:hAnsi="Arial" w:cs="Arial"/>
        </w:rPr>
        <w:t>) and develop a complete field of search of prior art (USPTO). In EUIPO the product indications is used to define the “informed user” for the type of products in question and the “degree of designer´s freedom”, both important factors in the assessment of the individual character of a design when compared with prior art.</w:t>
      </w:r>
    </w:p>
    <w:p w14:paraId="68A6249D" w14:textId="77777777" w:rsidR="007525F7" w:rsidRDefault="007525F7"/>
    <w:p w14:paraId="48D779BF" w14:textId="77777777" w:rsidR="00105AFD" w:rsidRDefault="00105AFD"/>
    <w:p w14:paraId="0D665EA5" w14:textId="77777777" w:rsidR="00105AFD" w:rsidRDefault="00105AFD"/>
    <w:p w14:paraId="2B4993A5" w14:textId="1C62D9CF" w:rsidR="00BE6829" w:rsidRPr="00882AE7" w:rsidRDefault="00BE6829" w:rsidP="00882AE7">
      <w:pPr>
        <w:spacing w:line="275" w:lineRule="auto"/>
        <w:ind w:right="166"/>
        <w:rPr>
          <w:rFonts w:ascii="Arial" w:eastAsia="Arial" w:hAnsi="Arial" w:cs="Arial"/>
        </w:rPr>
      </w:pPr>
      <w:r w:rsidRPr="00882AE7">
        <w:rPr>
          <w:rFonts w:ascii="Arial" w:eastAsia="Arial" w:hAnsi="Arial" w:cs="Arial"/>
        </w:rPr>
        <w:t xml:space="preserve">The material has been updated on: </w:t>
      </w:r>
    </w:p>
    <w:p w14:paraId="40B1E128" w14:textId="77777777" w:rsidR="00BE6829" w:rsidRPr="00882AE7" w:rsidRDefault="00BE6829" w:rsidP="00882AE7">
      <w:pPr>
        <w:spacing w:line="275" w:lineRule="auto"/>
        <w:ind w:right="166"/>
        <w:rPr>
          <w:rFonts w:ascii="Arial" w:eastAsia="Arial" w:hAnsi="Arial" w:cs="Arial"/>
        </w:rPr>
      </w:pPr>
      <w:r w:rsidRPr="00882AE7">
        <w:rPr>
          <w:rFonts w:ascii="Arial" w:eastAsia="Arial" w:hAnsi="Arial" w:cs="Arial"/>
        </w:rPr>
        <w:t>October 2019  by CNIPA</w:t>
      </w:r>
    </w:p>
    <w:p w14:paraId="03178890" w14:textId="77777777" w:rsidR="00BE6829" w:rsidRPr="00882AE7" w:rsidRDefault="00BE6829" w:rsidP="00882AE7">
      <w:pPr>
        <w:spacing w:line="275" w:lineRule="auto"/>
        <w:ind w:right="166"/>
        <w:rPr>
          <w:rFonts w:ascii="Arial" w:eastAsia="Arial" w:hAnsi="Arial" w:cs="Arial"/>
        </w:rPr>
      </w:pPr>
      <w:r w:rsidRPr="00882AE7">
        <w:rPr>
          <w:rFonts w:ascii="Arial" w:eastAsia="Arial" w:hAnsi="Arial" w:cs="Arial"/>
        </w:rPr>
        <w:t>February 2020 by USPTO</w:t>
      </w:r>
    </w:p>
    <w:p w14:paraId="38DEA54D" w14:textId="77777777" w:rsidR="00BE6829" w:rsidRPr="00882AE7" w:rsidRDefault="00BE6829" w:rsidP="00882AE7">
      <w:pPr>
        <w:spacing w:line="275" w:lineRule="auto"/>
        <w:ind w:right="166"/>
        <w:rPr>
          <w:rFonts w:ascii="Arial" w:eastAsia="Arial" w:hAnsi="Arial" w:cs="Arial"/>
        </w:rPr>
      </w:pPr>
    </w:p>
    <w:p w14:paraId="50783C29" w14:textId="77777777" w:rsidR="00BE6829" w:rsidRPr="00882AE7" w:rsidRDefault="00BE6829" w:rsidP="00882AE7">
      <w:pPr>
        <w:spacing w:line="275" w:lineRule="auto"/>
        <w:ind w:right="166"/>
        <w:rPr>
          <w:rFonts w:ascii="Arial" w:eastAsia="Arial" w:hAnsi="Arial" w:cs="Arial"/>
        </w:rPr>
      </w:pPr>
      <w:r w:rsidRPr="00882AE7">
        <w:rPr>
          <w:rFonts w:ascii="Arial" w:eastAsia="Arial" w:hAnsi="Arial" w:cs="Arial"/>
        </w:rPr>
        <w:t xml:space="preserve">No changes made in the original report by the other Partners </w:t>
      </w:r>
    </w:p>
    <w:p w14:paraId="5018110E" w14:textId="77777777" w:rsidR="006F16FB" w:rsidRDefault="006F16FB">
      <w:pPr>
        <w:spacing w:line="250" w:lineRule="auto"/>
        <w:ind w:right="20"/>
        <w:rPr>
          <w:rFonts w:ascii="Arial" w:eastAsia="Arial" w:hAnsi="Arial" w:cs="Arial"/>
          <w:sz w:val="21"/>
          <w:szCs w:val="21"/>
        </w:rPr>
      </w:pPr>
      <w:bookmarkStart w:id="7" w:name="page6"/>
      <w:bookmarkEnd w:id="7"/>
    </w:p>
    <w:p w14:paraId="465320E6" w14:textId="77777777" w:rsidR="007525F7" w:rsidRDefault="007525F7" w:rsidP="006F16FB">
      <w:pPr>
        <w:tabs>
          <w:tab w:val="left" w:pos="720"/>
        </w:tabs>
        <w:spacing w:line="228" w:lineRule="auto"/>
        <w:ind w:right="46"/>
        <w:rPr>
          <w:rFonts w:ascii="Symbol" w:eastAsia="Symbol" w:hAnsi="Symbol" w:cs="Symbol"/>
        </w:rPr>
      </w:pPr>
    </w:p>
    <w:sectPr w:rsidR="007525F7">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E002" w14:textId="77777777" w:rsidR="00B13B00" w:rsidRDefault="00B13B00" w:rsidP="00B13B00">
      <w:r>
        <w:separator/>
      </w:r>
    </w:p>
  </w:endnote>
  <w:endnote w:type="continuationSeparator" w:id="0">
    <w:p w14:paraId="23A5BE5A" w14:textId="77777777" w:rsidR="00B13B00" w:rsidRDefault="00B13B00" w:rsidP="00B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1DEE" w14:textId="77777777" w:rsidR="00B13B00" w:rsidRDefault="00B13B00" w:rsidP="00B13B00">
      <w:r>
        <w:separator/>
      </w:r>
    </w:p>
  </w:footnote>
  <w:footnote w:type="continuationSeparator" w:id="0">
    <w:p w14:paraId="3D9AD427" w14:textId="77777777" w:rsidR="00B13B00" w:rsidRDefault="00B13B00" w:rsidP="00B1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C981462"/>
    <w:lvl w:ilvl="0" w:tplc="75DE6538">
      <w:start w:val="1"/>
      <w:numFmt w:val="bullet"/>
      <w:lvlText w:val=""/>
      <w:lvlJc w:val="left"/>
    </w:lvl>
    <w:lvl w:ilvl="1" w:tplc="A2A8AD74">
      <w:numFmt w:val="decimal"/>
      <w:lvlText w:val=""/>
      <w:lvlJc w:val="left"/>
    </w:lvl>
    <w:lvl w:ilvl="2" w:tplc="CB68FA1A">
      <w:numFmt w:val="decimal"/>
      <w:lvlText w:val=""/>
      <w:lvlJc w:val="left"/>
    </w:lvl>
    <w:lvl w:ilvl="3" w:tplc="62747C2A">
      <w:numFmt w:val="decimal"/>
      <w:lvlText w:val=""/>
      <w:lvlJc w:val="left"/>
    </w:lvl>
    <w:lvl w:ilvl="4" w:tplc="DC72A7FA">
      <w:numFmt w:val="decimal"/>
      <w:lvlText w:val=""/>
      <w:lvlJc w:val="left"/>
    </w:lvl>
    <w:lvl w:ilvl="5" w:tplc="C7B86BD4">
      <w:numFmt w:val="decimal"/>
      <w:lvlText w:val=""/>
      <w:lvlJc w:val="left"/>
    </w:lvl>
    <w:lvl w:ilvl="6" w:tplc="1E9EDACC">
      <w:numFmt w:val="decimal"/>
      <w:lvlText w:val=""/>
      <w:lvlJc w:val="left"/>
    </w:lvl>
    <w:lvl w:ilvl="7" w:tplc="7C60EE50">
      <w:numFmt w:val="decimal"/>
      <w:lvlText w:val=""/>
      <w:lvlJc w:val="left"/>
    </w:lvl>
    <w:lvl w:ilvl="8" w:tplc="3B56BAB6">
      <w:numFmt w:val="decimal"/>
      <w:lvlText w:val=""/>
      <w:lvlJc w:val="left"/>
    </w:lvl>
  </w:abstractNum>
  <w:abstractNum w:abstractNumId="1" w15:restartNumberingAfterBreak="0">
    <w:nsid w:val="00000124"/>
    <w:multiLevelType w:val="hybridMultilevel"/>
    <w:tmpl w:val="5996263E"/>
    <w:lvl w:ilvl="0" w:tplc="8E084BE0">
      <w:start w:val="1"/>
      <w:numFmt w:val="bullet"/>
      <w:lvlText w:val=""/>
      <w:lvlJc w:val="left"/>
    </w:lvl>
    <w:lvl w:ilvl="1" w:tplc="59604880">
      <w:numFmt w:val="decimal"/>
      <w:lvlText w:val=""/>
      <w:lvlJc w:val="left"/>
    </w:lvl>
    <w:lvl w:ilvl="2" w:tplc="E5FA63C0">
      <w:numFmt w:val="decimal"/>
      <w:lvlText w:val=""/>
      <w:lvlJc w:val="left"/>
    </w:lvl>
    <w:lvl w:ilvl="3" w:tplc="468A7348">
      <w:numFmt w:val="decimal"/>
      <w:lvlText w:val=""/>
      <w:lvlJc w:val="left"/>
    </w:lvl>
    <w:lvl w:ilvl="4" w:tplc="EE306F70">
      <w:numFmt w:val="decimal"/>
      <w:lvlText w:val=""/>
      <w:lvlJc w:val="left"/>
    </w:lvl>
    <w:lvl w:ilvl="5" w:tplc="9A5E82BA">
      <w:numFmt w:val="decimal"/>
      <w:lvlText w:val=""/>
      <w:lvlJc w:val="left"/>
    </w:lvl>
    <w:lvl w:ilvl="6" w:tplc="7BDAD4F4">
      <w:numFmt w:val="decimal"/>
      <w:lvlText w:val=""/>
      <w:lvlJc w:val="left"/>
    </w:lvl>
    <w:lvl w:ilvl="7" w:tplc="2F9CDD50">
      <w:numFmt w:val="decimal"/>
      <w:lvlText w:val=""/>
      <w:lvlJc w:val="left"/>
    </w:lvl>
    <w:lvl w:ilvl="8" w:tplc="F90AA0B0">
      <w:numFmt w:val="decimal"/>
      <w:lvlText w:val=""/>
      <w:lvlJc w:val="left"/>
    </w:lvl>
  </w:abstractNum>
  <w:abstractNum w:abstractNumId="2" w15:restartNumberingAfterBreak="0">
    <w:nsid w:val="00000F3E"/>
    <w:multiLevelType w:val="hybridMultilevel"/>
    <w:tmpl w:val="7472C0AE"/>
    <w:lvl w:ilvl="0" w:tplc="610A2B6C">
      <w:start w:val="1"/>
      <w:numFmt w:val="bullet"/>
      <w:lvlText w:val=""/>
      <w:lvlJc w:val="left"/>
    </w:lvl>
    <w:lvl w:ilvl="1" w:tplc="18607E3C">
      <w:numFmt w:val="decimal"/>
      <w:lvlText w:val=""/>
      <w:lvlJc w:val="left"/>
    </w:lvl>
    <w:lvl w:ilvl="2" w:tplc="5CFEE784">
      <w:numFmt w:val="decimal"/>
      <w:lvlText w:val=""/>
      <w:lvlJc w:val="left"/>
    </w:lvl>
    <w:lvl w:ilvl="3" w:tplc="5D7E0906">
      <w:numFmt w:val="decimal"/>
      <w:lvlText w:val=""/>
      <w:lvlJc w:val="left"/>
    </w:lvl>
    <w:lvl w:ilvl="4" w:tplc="A2865EB8">
      <w:numFmt w:val="decimal"/>
      <w:lvlText w:val=""/>
      <w:lvlJc w:val="left"/>
    </w:lvl>
    <w:lvl w:ilvl="5" w:tplc="20A00AD6">
      <w:numFmt w:val="decimal"/>
      <w:lvlText w:val=""/>
      <w:lvlJc w:val="left"/>
    </w:lvl>
    <w:lvl w:ilvl="6" w:tplc="1534B2E8">
      <w:numFmt w:val="decimal"/>
      <w:lvlText w:val=""/>
      <w:lvlJc w:val="left"/>
    </w:lvl>
    <w:lvl w:ilvl="7" w:tplc="1DD85ED4">
      <w:numFmt w:val="decimal"/>
      <w:lvlText w:val=""/>
      <w:lvlJc w:val="left"/>
    </w:lvl>
    <w:lvl w:ilvl="8" w:tplc="4538FCE6">
      <w:numFmt w:val="decimal"/>
      <w:lvlText w:val=""/>
      <w:lvlJc w:val="left"/>
    </w:lvl>
  </w:abstractNum>
  <w:abstractNum w:abstractNumId="3" w15:restartNumberingAfterBreak="0">
    <w:nsid w:val="00001547"/>
    <w:multiLevelType w:val="hybridMultilevel"/>
    <w:tmpl w:val="7BE0AECE"/>
    <w:lvl w:ilvl="0" w:tplc="A7F29F52">
      <w:start w:val="1"/>
      <w:numFmt w:val="bullet"/>
      <w:lvlText w:val=""/>
      <w:lvlJc w:val="left"/>
    </w:lvl>
    <w:lvl w:ilvl="1" w:tplc="908CB388">
      <w:numFmt w:val="decimal"/>
      <w:lvlText w:val=""/>
      <w:lvlJc w:val="left"/>
    </w:lvl>
    <w:lvl w:ilvl="2" w:tplc="E7E612F4">
      <w:numFmt w:val="decimal"/>
      <w:lvlText w:val=""/>
      <w:lvlJc w:val="left"/>
    </w:lvl>
    <w:lvl w:ilvl="3" w:tplc="7614502A">
      <w:numFmt w:val="decimal"/>
      <w:lvlText w:val=""/>
      <w:lvlJc w:val="left"/>
    </w:lvl>
    <w:lvl w:ilvl="4" w:tplc="DB46992E">
      <w:numFmt w:val="decimal"/>
      <w:lvlText w:val=""/>
      <w:lvlJc w:val="left"/>
    </w:lvl>
    <w:lvl w:ilvl="5" w:tplc="FE34B704">
      <w:numFmt w:val="decimal"/>
      <w:lvlText w:val=""/>
      <w:lvlJc w:val="left"/>
    </w:lvl>
    <w:lvl w:ilvl="6" w:tplc="A70E3C2C">
      <w:numFmt w:val="decimal"/>
      <w:lvlText w:val=""/>
      <w:lvlJc w:val="left"/>
    </w:lvl>
    <w:lvl w:ilvl="7" w:tplc="DAD25564">
      <w:numFmt w:val="decimal"/>
      <w:lvlText w:val=""/>
      <w:lvlJc w:val="left"/>
    </w:lvl>
    <w:lvl w:ilvl="8" w:tplc="440AADE4">
      <w:numFmt w:val="decimal"/>
      <w:lvlText w:val=""/>
      <w:lvlJc w:val="left"/>
    </w:lvl>
  </w:abstractNum>
  <w:abstractNum w:abstractNumId="4" w15:restartNumberingAfterBreak="0">
    <w:nsid w:val="00002D12"/>
    <w:multiLevelType w:val="hybridMultilevel"/>
    <w:tmpl w:val="0F2427F0"/>
    <w:lvl w:ilvl="0" w:tplc="67DA91D0">
      <w:start w:val="1"/>
      <w:numFmt w:val="bullet"/>
      <w:lvlText w:val=""/>
      <w:lvlJc w:val="left"/>
    </w:lvl>
    <w:lvl w:ilvl="1" w:tplc="478ACFFE">
      <w:numFmt w:val="decimal"/>
      <w:lvlText w:val=""/>
      <w:lvlJc w:val="left"/>
    </w:lvl>
    <w:lvl w:ilvl="2" w:tplc="D9A63FB2">
      <w:numFmt w:val="decimal"/>
      <w:lvlText w:val=""/>
      <w:lvlJc w:val="left"/>
    </w:lvl>
    <w:lvl w:ilvl="3" w:tplc="F7BC7B6A">
      <w:numFmt w:val="decimal"/>
      <w:lvlText w:val=""/>
      <w:lvlJc w:val="left"/>
    </w:lvl>
    <w:lvl w:ilvl="4" w:tplc="16C4D2F0">
      <w:numFmt w:val="decimal"/>
      <w:lvlText w:val=""/>
      <w:lvlJc w:val="left"/>
    </w:lvl>
    <w:lvl w:ilvl="5" w:tplc="CF42D566">
      <w:numFmt w:val="decimal"/>
      <w:lvlText w:val=""/>
      <w:lvlJc w:val="left"/>
    </w:lvl>
    <w:lvl w:ilvl="6" w:tplc="46E05E82">
      <w:numFmt w:val="decimal"/>
      <w:lvlText w:val=""/>
      <w:lvlJc w:val="left"/>
    </w:lvl>
    <w:lvl w:ilvl="7" w:tplc="01C8BA32">
      <w:numFmt w:val="decimal"/>
      <w:lvlText w:val=""/>
      <w:lvlJc w:val="left"/>
    </w:lvl>
    <w:lvl w:ilvl="8" w:tplc="BA12DFA2">
      <w:numFmt w:val="decimal"/>
      <w:lvlText w:val=""/>
      <w:lvlJc w:val="left"/>
    </w:lvl>
  </w:abstractNum>
  <w:abstractNum w:abstractNumId="5" w15:restartNumberingAfterBreak="0">
    <w:nsid w:val="0000305E"/>
    <w:multiLevelType w:val="hybridMultilevel"/>
    <w:tmpl w:val="FB1E68DC"/>
    <w:lvl w:ilvl="0" w:tplc="25DAA968">
      <w:start w:val="1"/>
      <w:numFmt w:val="bullet"/>
      <w:lvlText w:val=""/>
      <w:lvlJc w:val="left"/>
    </w:lvl>
    <w:lvl w:ilvl="1" w:tplc="86063B6A">
      <w:numFmt w:val="decimal"/>
      <w:lvlText w:val=""/>
      <w:lvlJc w:val="left"/>
    </w:lvl>
    <w:lvl w:ilvl="2" w:tplc="CE40040E">
      <w:numFmt w:val="decimal"/>
      <w:lvlText w:val=""/>
      <w:lvlJc w:val="left"/>
    </w:lvl>
    <w:lvl w:ilvl="3" w:tplc="E89A0720">
      <w:numFmt w:val="decimal"/>
      <w:lvlText w:val=""/>
      <w:lvlJc w:val="left"/>
    </w:lvl>
    <w:lvl w:ilvl="4" w:tplc="AE4AD408">
      <w:numFmt w:val="decimal"/>
      <w:lvlText w:val=""/>
      <w:lvlJc w:val="left"/>
    </w:lvl>
    <w:lvl w:ilvl="5" w:tplc="ECA2B6DE">
      <w:numFmt w:val="decimal"/>
      <w:lvlText w:val=""/>
      <w:lvlJc w:val="left"/>
    </w:lvl>
    <w:lvl w:ilvl="6" w:tplc="05C0ED04">
      <w:numFmt w:val="decimal"/>
      <w:lvlText w:val=""/>
      <w:lvlJc w:val="left"/>
    </w:lvl>
    <w:lvl w:ilvl="7" w:tplc="394ED4DC">
      <w:numFmt w:val="decimal"/>
      <w:lvlText w:val=""/>
      <w:lvlJc w:val="left"/>
    </w:lvl>
    <w:lvl w:ilvl="8" w:tplc="A6E2BBD6">
      <w:numFmt w:val="decimal"/>
      <w:lvlText w:val=""/>
      <w:lvlJc w:val="left"/>
    </w:lvl>
  </w:abstractNum>
  <w:abstractNum w:abstractNumId="6" w15:restartNumberingAfterBreak="0">
    <w:nsid w:val="0000390C"/>
    <w:multiLevelType w:val="hybridMultilevel"/>
    <w:tmpl w:val="6324D9E2"/>
    <w:lvl w:ilvl="0" w:tplc="305C889E">
      <w:start w:val="1"/>
      <w:numFmt w:val="bullet"/>
      <w:lvlText w:val=""/>
      <w:lvlJc w:val="left"/>
    </w:lvl>
    <w:lvl w:ilvl="1" w:tplc="897CBBFC">
      <w:numFmt w:val="decimal"/>
      <w:lvlText w:val=""/>
      <w:lvlJc w:val="left"/>
    </w:lvl>
    <w:lvl w:ilvl="2" w:tplc="58423BB0">
      <w:numFmt w:val="decimal"/>
      <w:lvlText w:val=""/>
      <w:lvlJc w:val="left"/>
    </w:lvl>
    <w:lvl w:ilvl="3" w:tplc="3D4018AA">
      <w:numFmt w:val="decimal"/>
      <w:lvlText w:val=""/>
      <w:lvlJc w:val="left"/>
    </w:lvl>
    <w:lvl w:ilvl="4" w:tplc="9BFEFE5C">
      <w:numFmt w:val="decimal"/>
      <w:lvlText w:val=""/>
      <w:lvlJc w:val="left"/>
    </w:lvl>
    <w:lvl w:ilvl="5" w:tplc="D0549B28">
      <w:numFmt w:val="decimal"/>
      <w:lvlText w:val=""/>
      <w:lvlJc w:val="left"/>
    </w:lvl>
    <w:lvl w:ilvl="6" w:tplc="E90E7992">
      <w:numFmt w:val="decimal"/>
      <w:lvlText w:val=""/>
      <w:lvlJc w:val="left"/>
    </w:lvl>
    <w:lvl w:ilvl="7" w:tplc="74F0A4B8">
      <w:numFmt w:val="decimal"/>
      <w:lvlText w:val=""/>
      <w:lvlJc w:val="left"/>
    </w:lvl>
    <w:lvl w:ilvl="8" w:tplc="CEDA05A8">
      <w:numFmt w:val="decimal"/>
      <w:lvlText w:val=""/>
      <w:lvlJc w:val="left"/>
    </w:lvl>
  </w:abstractNum>
  <w:abstractNum w:abstractNumId="7" w15:restartNumberingAfterBreak="0">
    <w:nsid w:val="000039B3"/>
    <w:multiLevelType w:val="hybridMultilevel"/>
    <w:tmpl w:val="7A6057B0"/>
    <w:lvl w:ilvl="0" w:tplc="6DB433C4">
      <w:start w:val="1"/>
      <w:numFmt w:val="bullet"/>
      <w:lvlText w:val=""/>
      <w:lvlJc w:val="left"/>
    </w:lvl>
    <w:lvl w:ilvl="1" w:tplc="36DAA592">
      <w:numFmt w:val="decimal"/>
      <w:lvlText w:val=""/>
      <w:lvlJc w:val="left"/>
    </w:lvl>
    <w:lvl w:ilvl="2" w:tplc="5A34FEFE">
      <w:numFmt w:val="decimal"/>
      <w:lvlText w:val=""/>
      <w:lvlJc w:val="left"/>
    </w:lvl>
    <w:lvl w:ilvl="3" w:tplc="DCCCFCCC">
      <w:numFmt w:val="decimal"/>
      <w:lvlText w:val=""/>
      <w:lvlJc w:val="left"/>
    </w:lvl>
    <w:lvl w:ilvl="4" w:tplc="BA945C7E">
      <w:numFmt w:val="decimal"/>
      <w:lvlText w:val=""/>
      <w:lvlJc w:val="left"/>
    </w:lvl>
    <w:lvl w:ilvl="5" w:tplc="EA80F6CC">
      <w:numFmt w:val="decimal"/>
      <w:lvlText w:val=""/>
      <w:lvlJc w:val="left"/>
    </w:lvl>
    <w:lvl w:ilvl="6" w:tplc="9E9EA63E">
      <w:numFmt w:val="decimal"/>
      <w:lvlText w:val=""/>
      <w:lvlJc w:val="left"/>
    </w:lvl>
    <w:lvl w:ilvl="7" w:tplc="1A580790">
      <w:numFmt w:val="decimal"/>
      <w:lvlText w:val=""/>
      <w:lvlJc w:val="left"/>
    </w:lvl>
    <w:lvl w:ilvl="8" w:tplc="948AD796">
      <w:numFmt w:val="decimal"/>
      <w:lvlText w:val=""/>
      <w:lvlJc w:val="left"/>
    </w:lvl>
  </w:abstractNum>
  <w:abstractNum w:abstractNumId="8" w15:restartNumberingAfterBreak="0">
    <w:nsid w:val="0000440D"/>
    <w:multiLevelType w:val="hybridMultilevel"/>
    <w:tmpl w:val="862021A8"/>
    <w:lvl w:ilvl="0" w:tplc="75301E34">
      <w:start w:val="1"/>
      <w:numFmt w:val="bullet"/>
      <w:lvlText w:val=""/>
      <w:lvlJc w:val="left"/>
    </w:lvl>
    <w:lvl w:ilvl="1" w:tplc="F81C0F6A">
      <w:numFmt w:val="decimal"/>
      <w:lvlText w:val=""/>
      <w:lvlJc w:val="left"/>
    </w:lvl>
    <w:lvl w:ilvl="2" w:tplc="CDBC5D00">
      <w:numFmt w:val="decimal"/>
      <w:lvlText w:val=""/>
      <w:lvlJc w:val="left"/>
    </w:lvl>
    <w:lvl w:ilvl="3" w:tplc="2EE68086">
      <w:numFmt w:val="decimal"/>
      <w:lvlText w:val=""/>
      <w:lvlJc w:val="left"/>
    </w:lvl>
    <w:lvl w:ilvl="4" w:tplc="0A0012A2">
      <w:numFmt w:val="decimal"/>
      <w:lvlText w:val=""/>
      <w:lvlJc w:val="left"/>
    </w:lvl>
    <w:lvl w:ilvl="5" w:tplc="43B61D2E">
      <w:numFmt w:val="decimal"/>
      <w:lvlText w:val=""/>
      <w:lvlJc w:val="left"/>
    </w:lvl>
    <w:lvl w:ilvl="6" w:tplc="E794D27C">
      <w:numFmt w:val="decimal"/>
      <w:lvlText w:val=""/>
      <w:lvlJc w:val="left"/>
    </w:lvl>
    <w:lvl w:ilvl="7" w:tplc="6AF6F29E">
      <w:numFmt w:val="decimal"/>
      <w:lvlText w:val=""/>
      <w:lvlJc w:val="left"/>
    </w:lvl>
    <w:lvl w:ilvl="8" w:tplc="4EC08E50">
      <w:numFmt w:val="decimal"/>
      <w:lvlText w:val=""/>
      <w:lvlJc w:val="left"/>
    </w:lvl>
  </w:abstractNum>
  <w:abstractNum w:abstractNumId="9" w15:restartNumberingAfterBreak="0">
    <w:nsid w:val="0000491C"/>
    <w:multiLevelType w:val="hybridMultilevel"/>
    <w:tmpl w:val="F9FCF7B8"/>
    <w:lvl w:ilvl="0" w:tplc="DCE60E96">
      <w:start w:val="1"/>
      <w:numFmt w:val="bullet"/>
      <w:lvlText w:val=""/>
      <w:lvlJc w:val="left"/>
    </w:lvl>
    <w:lvl w:ilvl="1" w:tplc="03F8B18A">
      <w:numFmt w:val="decimal"/>
      <w:lvlText w:val=""/>
      <w:lvlJc w:val="left"/>
    </w:lvl>
    <w:lvl w:ilvl="2" w:tplc="74D46AA0">
      <w:numFmt w:val="decimal"/>
      <w:lvlText w:val=""/>
      <w:lvlJc w:val="left"/>
    </w:lvl>
    <w:lvl w:ilvl="3" w:tplc="D42E7386">
      <w:numFmt w:val="decimal"/>
      <w:lvlText w:val=""/>
      <w:lvlJc w:val="left"/>
    </w:lvl>
    <w:lvl w:ilvl="4" w:tplc="6A8051FC">
      <w:numFmt w:val="decimal"/>
      <w:lvlText w:val=""/>
      <w:lvlJc w:val="left"/>
    </w:lvl>
    <w:lvl w:ilvl="5" w:tplc="C05AD5B2">
      <w:numFmt w:val="decimal"/>
      <w:lvlText w:val=""/>
      <w:lvlJc w:val="left"/>
    </w:lvl>
    <w:lvl w:ilvl="6" w:tplc="C12C6AF8">
      <w:numFmt w:val="decimal"/>
      <w:lvlText w:val=""/>
      <w:lvlJc w:val="left"/>
    </w:lvl>
    <w:lvl w:ilvl="7" w:tplc="29DE6DCE">
      <w:numFmt w:val="decimal"/>
      <w:lvlText w:val=""/>
      <w:lvlJc w:val="left"/>
    </w:lvl>
    <w:lvl w:ilvl="8" w:tplc="DF1493CA">
      <w:numFmt w:val="decimal"/>
      <w:lvlText w:val=""/>
      <w:lvlJc w:val="left"/>
    </w:lvl>
  </w:abstractNum>
  <w:abstractNum w:abstractNumId="10" w15:restartNumberingAfterBreak="0">
    <w:nsid w:val="00004D06"/>
    <w:multiLevelType w:val="hybridMultilevel"/>
    <w:tmpl w:val="4F783656"/>
    <w:lvl w:ilvl="0" w:tplc="0EECD924">
      <w:start w:val="1"/>
      <w:numFmt w:val="bullet"/>
      <w:lvlText w:val=""/>
      <w:lvlJc w:val="left"/>
    </w:lvl>
    <w:lvl w:ilvl="1" w:tplc="B48ABF04">
      <w:numFmt w:val="decimal"/>
      <w:lvlText w:val=""/>
      <w:lvlJc w:val="left"/>
    </w:lvl>
    <w:lvl w:ilvl="2" w:tplc="7DE40DD8">
      <w:numFmt w:val="decimal"/>
      <w:lvlText w:val=""/>
      <w:lvlJc w:val="left"/>
    </w:lvl>
    <w:lvl w:ilvl="3" w:tplc="957885F2">
      <w:numFmt w:val="decimal"/>
      <w:lvlText w:val=""/>
      <w:lvlJc w:val="left"/>
    </w:lvl>
    <w:lvl w:ilvl="4" w:tplc="3E16546C">
      <w:numFmt w:val="decimal"/>
      <w:lvlText w:val=""/>
      <w:lvlJc w:val="left"/>
    </w:lvl>
    <w:lvl w:ilvl="5" w:tplc="29749F78">
      <w:numFmt w:val="decimal"/>
      <w:lvlText w:val=""/>
      <w:lvlJc w:val="left"/>
    </w:lvl>
    <w:lvl w:ilvl="6" w:tplc="65CC9E44">
      <w:numFmt w:val="decimal"/>
      <w:lvlText w:val=""/>
      <w:lvlJc w:val="left"/>
    </w:lvl>
    <w:lvl w:ilvl="7" w:tplc="2690E120">
      <w:numFmt w:val="decimal"/>
      <w:lvlText w:val=""/>
      <w:lvlJc w:val="left"/>
    </w:lvl>
    <w:lvl w:ilvl="8" w:tplc="2982D93E">
      <w:numFmt w:val="decimal"/>
      <w:lvlText w:val=""/>
      <w:lvlJc w:val="left"/>
    </w:lvl>
  </w:abstractNum>
  <w:abstractNum w:abstractNumId="11" w15:restartNumberingAfterBreak="0">
    <w:nsid w:val="00004DB7"/>
    <w:multiLevelType w:val="hybridMultilevel"/>
    <w:tmpl w:val="BB8A4032"/>
    <w:lvl w:ilvl="0" w:tplc="15164326">
      <w:start w:val="1"/>
      <w:numFmt w:val="bullet"/>
      <w:lvlText w:val=""/>
      <w:lvlJc w:val="left"/>
    </w:lvl>
    <w:lvl w:ilvl="1" w:tplc="6DBC25A4">
      <w:numFmt w:val="decimal"/>
      <w:lvlText w:val=""/>
      <w:lvlJc w:val="left"/>
    </w:lvl>
    <w:lvl w:ilvl="2" w:tplc="5B067284">
      <w:numFmt w:val="decimal"/>
      <w:lvlText w:val=""/>
      <w:lvlJc w:val="left"/>
    </w:lvl>
    <w:lvl w:ilvl="3" w:tplc="8F8A3EBE">
      <w:numFmt w:val="decimal"/>
      <w:lvlText w:val=""/>
      <w:lvlJc w:val="left"/>
    </w:lvl>
    <w:lvl w:ilvl="4" w:tplc="803AC41A">
      <w:numFmt w:val="decimal"/>
      <w:lvlText w:val=""/>
      <w:lvlJc w:val="left"/>
    </w:lvl>
    <w:lvl w:ilvl="5" w:tplc="A81855E8">
      <w:numFmt w:val="decimal"/>
      <w:lvlText w:val=""/>
      <w:lvlJc w:val="left"/>
    </w:lvl>
    <w:lvl w:ilvl="6" w:tplc="10F00834">
      <w:numFmt w:val="decimal"/>
      <w:lvlText w:val=""/>
      <w:lvlJc w:val="left"/>
    </w:lvl>
    <w:lvl w:ilvl="7" w:tplc="25F0B37C">
      <w:numFmt w:val="decimal"/>
      <w:lvlText w:val=""/>
      <w:lvlJc w:val="left"/>
    </w:lvl>
    <w:lvl w:ilvl="8" w:tplc="46E0513A">
      <w:numFmt w:val="decimal"/>
      <w:lvlText w:val=""/>
      <w:lvlJc w:val="left"/>
    </w:lvl>
  </w:abstractNum>
  <w:abstractNum w:abstractNumId="12" w15:restartNumberingAfterBreak="0">
    <w:nsid w:val="000054DE"/>
    <w:multiLevelType w:val="hybridMultilevel"/>
    <w:tmpl w:val="81CAA820"/>
    <w:lvl w:ilvl="0" w:tplc="4C3038F8">
      <w:start w:val="1"/>
      <w:numFmt w:val="lowerRoman"/>
      <w:lvlText w:val="(%1)"/>
      <w:lvlJc w:val="left"/>
    </w:lvl>
    <w:lvl w:ilvl="1" w:tplc="FAD67294">
      <w:numFmt w:val="decimal"/>
      <w:lvlText w:val=""/>
      <w:lvlJc w:val="left"/>
    </w:lvl>
    <w:lvl w:ilvl="2" w:tplc="244CE28A">
      <w:numFmt w:val="decimal"/>
      <w:lvlText w:val=""/>
      <w:lvlJc w:val="left"/>
    </w:lvl>
    <w:lvl w:ilvl="3" w:tplc="83944C04">
      <w:numFmt w:val="decimal"/>
      <w:lvlText w:val=""/>
      <w:lvlJc w:val="left"/>
    </w:lvl>
    <w:lvl w:ilvl="4" w:tplc="CB681474">
      <w:numFmt w:val="decimal"/>
      <w:lvlText w:val=""/>
      <w:lvlJc w:val="left"/>
    </w:lvl>
    <w:lvl w:ilvl="5" w:tplc="E8407866">
      <w:numFmt w:val="decimal"/>
      <w:lvlText w:val=""/>
      <w:lvlJc w:val="left"/>
    </w:lvl>
    <w:lvl w:ilvl="6" w:tplc="6FC0AB06">
      <w:numFmt w:val="decimal"/>
      <w:lvlText w:val=""/>
      <w:lvlJc w:val="left"/>
    </w:lvl>
    <w:lvl w:ilvl="7" w:tplc="882EF336">
      <w:numFmt w:val="decimal"/>
      <w:lvlText w:val=""/>
      <w:lvlJc w:val="left"/>
    </w:lvl>
    <w:lvl w:ilvl="8" w:tplc="EA0EBE64">
      <w:numFmt w:val="decimal"/>
      <w:lvlText w:val=""/>
      <w:lvlJc w:val="left"/>
    </w:lvl>
  </w:abstractNum>
  <w:num w:numId="1">
    <w:abstractNumId w:val="6"/>
  </w:num>
  <w:num w:numId="2">
    <w:abstractNumId w:val="2"/>
  </w:num>
  <w:num w:numId="3">
    <w:abstractNumId w:val="0"/>
  </w:num>
  <w:num w:numId="4">
    <w:abstractNumId w:val="1"/>
  </w:num>
  <w:num w:numId="5">
    <w:abstractNumId w:val="5"/>
  </w:num>
  <w:num w:numId="6">
    <w:abstractNumId w:val="8"/>
  </w:num>
  <w:num w:numId="7">
    <w:abstractNumId w:val="9"/>
  </w:num>
  <w:num w:numId="8">
    <w:abstractNumId w:val="10"/>
  </w:num>
  <w:num w:numId="9">
    <w:abstractNumId w:val="11"/>
  </w:num>
  <w:num w:numId="10">
    <w:abstractNumId w:val="3"/>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F7"/>
    <w:rsid w:val="00034F74"/>
    <w:rsid w:val="00090375"/>
    <w:rsid w:val="00093DB7"/>
    <w:rsid w:val="00105AFD"/>
    <w:rsid w:val="00190C60"/>
    <w:rsid w:val="003A771F"/>
    <w:rsid w:val="004D4F6D"/>
    <w:rsid w:val="005C07DA"/>
    <w:rsid w:val="005D5F6F"/>
    <w:rsid w:val="005D77D6"/>
    <w:rsid w:val="006F16FB"/>
    <w:rsid w:val="006F2664"/>
    <w:rsid w:val="006F63CC"/>
    <w:rsid w:val="007525F7"/>
    <w:rsid w:val="0077692F"/>
    <w:rsid w:val="007839F7"/>
    <w:rsid w:val="00882AE7"/>
    <w:rsid w:val="00941003"/>
    <w:rsid w:val="00A96AFF"/>
    <w:rsid w:val="00B13B00"/>
    <w:rsid w:val="00BE6829"/>
    <w:rsid w:val="00D22B48"/>
    <w:rsid w:val="00E55EEF"/>
    <w:rsid w:val="00F3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F43A1"/>
  <w15:docId w15:val="{BECFD464-85D9-4A6C-8DBA-7F8DDA50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FD"/>
    <w:rPr>
      <w:rFonts w:ascii="Segoe UI" w:hAnsi="Segoe UI" w:cs="Segoe UI"/>
      <w:sz w:val="18"/>
      <w:szCs w:val="18"/>
    </w:rPr>
  </w:style>
  <w:style w:type="character" w:styleId="CommentReference">
    <w:name w:val="annotation reference"/>
    <w:basedOn w:val="DefaultParagraphFont"/>
    <w:uiPriority w:val="99"/>
    <w:semiHidden/>
    <w:unhideWhenUsed/>
    <w:rsid w:val="00034F74"/>
    <w:rPr>
      <w:sz w:val="16"/>
      <w:szCs w:val="16"/>
    </w:rPr>
  </w:style>
  <w:style w:type="paragraph" w:styleId="CommentText">
    <w:name w:val="annotation text"/>
    <w:basedOn w:val="Normal"/>
    <w:link w:val="CommentTextChar"/>
    <w:uiPriority w:val="99"/>
    <w:semiHidden/>
    <w:unhideWhenUsed/>
    <w:rsid w:val="00034F74"/>
    <w:rPr>
      <w:sz w:val="20"/>
      <w:szCs w:val="20"/>
    </w:rPr>
  </w:style>
  <w:style w:type="character" w:customStyle="1" w:styleId="CommentTextChar">
    <w:name w:val="Comment Text Char"/>
    <w:basedOn w:val="DefaultParagraphFont"/>
    <w:link w:val="CommentText"/>
    <w:uiPriority w:val="99"/>
    <w:semiHidden/>
    <w:rsid w:val="00034F74"/>
    <w:rPr>
      <w:sz w:val="20"/>
      <w:szCs w:val="20"/>
    </w:rPr>
  </w:style>
  <w:style w:type="paragraph" w:styleId="CommentSubject">
    <w:name w:val="annotation subject"/>
    <w:basedOn w:val="CommentText"/>
    <w:next w:val="CommentText"/>
    <w:link w:val="CommentSubjectChar"/>
    <w:uiPriority w:val="99"/>
    <w:semiHidden/>
    <w:unhideWhenUsed/>
    <w:rsid w:val="00034F74"/>
    <w:rPr>
      <w:b/>
      <w:bCs/>
    </w:rPr>
  </w:style>
  <w:style w:type="character" w:customStyle="1" w:styleId="CommentSubjectChar">
    <w:name w:val="Comment Subject Char"/>
    <w:basedOn w:val="CommentTextChar"/>
    <w:link w:val="CommentSubject"/>
    <w:uiPriority w:val="99"/>
    <w:semiHidden/>
    <w:rsid w:val="00034F74"/>
    <w:rPr>
      <w:b/>
      <w:bCs/>
      <w:sz w:val="20"/>
      <w:szCs w:val="20"/>
    </w:rPr>
  </w:style>
  <w:style w:type="paragraph" w:styleId="BodyText">
    <w:name w:val="Body Text"/>
    <w:basedOn w:val="Normal"/>
    <w:link w:val="BodyTextChar"/>
    <w:uiPriority w:val="1"/>
    <w:semiHidden/>
    <w:unhideWhenUsed/>
    <w:qFormat/>
    <w:rsid w:val="00A96AFF"/>
    <w:pPr>
      <w:widowControl w:val="0"/>
      <w:autoSpaceDE w:val="0"/>
      <w:autoSpaceDN w:val="0"/>
    </w:pPr>
    <w:rPr>
      <w:rFonts w:ascii="Arial" w:eastAsia="Arial" w:hAnsi="Arial" w:cs="Arial"/>
      <w:lang w:val="en-IE" w:eastAsia="en-IE" w:bidi="en-IE"/>
    </w:rPr>
  </w:style>
  <w:style w:type="character" w:customStyle="1" w:styleId="BodyTextChar">
    <w:name w:val="Body Text Char"/>
    <w:basedOn w:val="DefaultParagraphFont"/>
    <w:link w:val="BodyText"/>
    <w:uiPriority w:val="1"/>
    <w:semiHidden/>
    <w:rsid w:val="00A96AFF"/>
    <w:rPr>
      <w:rFonts w:ascii="Arial" w:eastAsia="Arial" w:hAnsi="Arial" w:cs="Arial"/>
      <w:lang w:val="en-IE" w:eastAsia="en-IE" w:bidi="en-IE"/>
    </w:rPr>
  </w:style>
  <w:style w:type="paragraph" w:styleId="Header">
    <w:name w:val="header"/>
    <w:basedOn w:val="Normal"/>
    <w:link w:val="HeaderChar"/>
    <w:uiPriority w:val="99"/>
    <w:unhideWhenUsed/>
    <w:rsid w:val="00B13B00"/>
    <w:pPr>
      <w:tabs>
        <w:tab w:val="center" w:pos="4252"/>
        <w:tab w:val="right" w:pos="8504"/>
      </w:tabs>
      <w:snapToGrid w:val="0"/>
    </w:pPr>
  </w:style>
  <w:style w:type="character" w:customStyle="1" w:styleId="HeaderChar">
    <w:name w:val="Header Char"/>
    <w:basedOn w:val="DefaultParagraphFont"/>
    <w:link w:val="Header"/>
    <w:uiPriority w:val="99"/>
    <w:rsid w:val="00B13B00"/>
  </w:style>
  <w:style w:type="paragraph" w:styleId="Footer">
    <w:name w:val="footer"/>
    <w:basedOn w:val="Normal"/>
    <w:link w:val="FooterChar"/>
    <w:uiPriority w:val="99"/>
    <w:unhideWhenUsed/>
    <w:rsid w:val="00B13B00"/>
    <w:pPr>
      <w:tabs>
        <w:tab w:val="center" w:pos="4252"/>
        <w:tab w:val="right" w:pos="8504"/>
      </w:tabs>
      <w:snapToGrid w:val="0"/>
    </w:pPr>
  </w:style>
  <w:style w:type="character" w:customStyle="1" w:styleId="FooterChar">
    <w:name w:val="Footer Char"/>
    <w:basedOn w:val="DefaultParagraphFont"/>
    <w:link w:val="Footer"/>
    <w:uiPriority w:val="99"/>
    <w:rsid w:val="00B13B00"/>
  </w:style>
  <w:style w:type="paragraph" w:styleId="ListParagraph">
    <w:name w:val="List Paragraph"/>
    <w:basedOn w:val="Normal"/>
    <w:uiPriority w:val="34"/>
    <w:qFormat/>
    <w:rsid w:val="00B1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20020">
      <w:bodyDiv w:val="1"/>
      <w:marLeft w:val="0"/>
      <w:marRight w:val="0"/>
      <w:marTop w:val="0"/>
      <w:marBottom w:val="0"/>
      <w:divBdr>
        <w:top w:val="none" w:sz="0" w:space="0" w:color="auto"/>
        <w:left w:val="none" w:sz="0" w:space="0" w:color="auto"/>
        <w:bottom w:val="none" w:sz="0" w:space="0" w:color="auto"/>
        <w:right w:val="none" w:sz="0" w:space="0" w:color="auto"/>
      </w:divBdr>
    </w:div>
    <w:div w:id="21143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1DA7B41C9847B7683EECFB7FA6D9" ma:contentTypeVersion="7" ma:contentTypeDescription="Create a new document." ma:contentTypeScope="" ma:versionID="5e016b556238d45c2f076ffa197c1aa8">
  <xsd:schema xmlns:xsd="http://www.w3.org/2001/XMLSchema" xmlns:xs="http://www.w3.org/2001/XMLSchema" xmlns:p="http://schemas.microsoft.com/office/2006/metadata/properties" xmlns:ns3="daf898ab-9ce0-44ce-a5f6-2f796fe55d1e" targetNamespace="http://schemas.microsoft.com/office/2006/metadata/properties" ma:root="true" ma:fieldsID="eeb52218f128ef3452394cfd3ffed206" ns3:_="">
    <xsd:import namespace="daf898ab-9ce0-44ce-a5f6-2f796fe55d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98ab-9ce0-44ce-a5f6-2f796fe5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9333-90A7-4A91-B8F9-3AE67A71D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98ab-9ce0-44ce-a5f6-2f796fe5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2010E-2859-4359-B47F-258158679B49}">
  <ds:schemaRefs>
    <ds:schemaRef ds:uri="http://purl.org/dc/elements/1.1/"/>
    <ds:schemaRef ds:uri="http://schemas.microsoft.com/office/2006/metadata/properties"/>
    <ds:schemaRef ds:uri="http://purl.org/dc/terms/"/>
    <ds:schemaRef ds:uri="http://schemas.openxmlformats.org/package/2006/metadata/core-properties"/>
    <ds:schemaRef ds:uri="daf898ab-9ce0-44ce-a5f6-2f796fe55d1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805D2A-D42B-4FDB-AD1F-CE0BF22E5B57}">
  <ds:schemaRefs>
    <ds:schemaRef ds:uri="http://schemas.microsoft.com/sharepoint/v3/contenttype/forms"/>
  </ds:schemaRefs>
</ds:datastoreItem>
</file>

<file path=customXml/itemProps4.xml><?xml version="1.0" encoding="utf-8"?>
<ds:datastoreItem xmlns:ds="http://schemas.openxmlformats.org/officeDocument/2006/customXml" ds:itemID="{A4208890-E77A-4138-8832-37908F43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9774</Characters>
  <Application>Microsoft Office Word</Application>
  <DocSecurity>4</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EUIPO</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CERRO FERNANDEZ Debora</cp:lastModifiedBy>
  <cp:revision>2</cp:revision>
  <dcterms:created xsi:type="dcterms:W3CDTF">2020-02-19T10:07:00Z</dcterms:created>
  <dcterms:modified xsi:type="dcterms:W3CDTF">2020-02-19T10:07:00Z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0x010100E82E1DA7B41C9847B7683EECFB7FA6D9</vt:lpwstr>
  </property>
</Properties>
</file>